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71"/>
        <w:jc w:val="center"/>
        <w:rPr>
          <w:rStyle w:val="883"/>
          <w:rFonts w:ascii="PT Astra Serif" w:hAnsi="PT Astra Serif" w:cs="PT Astra Serif"/>
          <w:sz w:val="24"/>
          <w:szCs w:val="24"/>
        </w:rPr>
        <w:outlineLvl w:val="0"/>
      </w:pPr>
      <w:r>
        <w:rPr>
          <w:rFonts w:ascii="PT Astra Serif" w:hAnsi="PT Astra Serif" w:eastAsia="PT Astra Serif" w:cs="PT Astra Serif"/>
          <w:sz w:val="24"/>
          <w:szCs w:val="24"/>
        </w:rPr>
      </w:r>
      <w:bookmarkStart w:id="0" w:name="OLE_LINK3"/>
      <w:r>
        <w:rPr>
          <w:rStyle w:val="883"/>
          <w:rFonts w:ascii="PT Astra Serif" w:hAnsi="PT Astra Serif" w:eastAsia="PT Astra Serif" w:cs="PT Astra Serif"/>
          <w:sz w:val="24"/>
          <w:szCs w:val="24"/>
        </w:rPr>
        <w:t xml:space="preserve">Информационное сообщение </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Style w:val="883"/>
          <w:rFonts w:ascii="PT Astra Serif" w:hAnsi="PT Astra Serif" w:cs="PT Astra Serif"/>
          <w:sz w:val="24"/>
          <w:szCs w:val="24"/>
        </w:rPr>
      </w:pPr>
      <w:r>
        <w:rPr>
          <w:rStyle w:val="883"/>
          <w:rFonts w:ascii="PT Astra Serif" w:hAnsi="PT Astra Serif" w:eastAsia="PT Astra Serif" w:cs="PT Astra Serif"/>
          <w:sz w:val="24"/>
          <w:szCs w:val="24"/>
        </w:rPr>
        <w:t xml:space="preserve">о продаже посредством публичного предложения</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Style w:val="883"/>
          <w:rFonts w:ascii="PT Astra Serif" w:hAnsi="PT Astra Serif" w:cs="PT Astra Serif"/>
          <w:sz w:val="24"/>
          <w:szCs w:val="24"/>
        </w:rPr>
      </w:pPr>
      <w:r>
        <w:rPr>
          <w:rStyle w:val="883"/>
          <w:rFonts w:ascii="PT Astra Serif" w:hAnsi="PT Astra Serif" w:eastAsia="PT Astra Serif" w:cs="PT Astra Serif"/>
          <w:sz w:val="24"/>
          <w:szCs w:val="24"/>
        </w:rPr>
        <w:t xml:space="preserve">объектов недвижимого и движимого имущества,</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Style w:val="883"/>
          <w:rFonts w:ascii="PT Astra Serif" w:hAnsi="PT Astra Serif" w:cs="PT Astra Serif"/>
          <w:sz w:val="24"/>
          <w:szCs w:val="24"/>
        </w:rPr>
      </w:pPr>
      <w:r>
        <w:rPr>
          <w:rStyle w:val="883"/>
          <w:rFonts w:ascii="PT Astra Serif" w:hAnsi="PT Astra Serif" w:eastAsia="PT Astra Serif" w:cs="PT Astra Serif"/>
          <w:sz w:val="24"/>
          <w:szCs w:val="24"/>
        </w:rPr>
        <w:t xml:space="preserve">расположенных по адресу: ХМАО-Югра </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Fonts w:ascii="PT Astra Serif" w:hAnsi="PT Astra Serif" w:cs="PT Astra Serif"/>
          <w:b/>
          <w:color w:val="1d5da2"/>
          <w:sz w:val="24"/>
          <w:szCs w:val="24"/>
        </w:rPr>
      </w:pPr>
      <w:r>
        <w:rPr>
          <w:rStyle w:val="883"/>
          <w:rFonts w:ascii="PT Astra Serif" w:hAnsi="PT Astra Serif" w:eastAsia="PT Astra Serif" w:cs="PT Astra Serif"/>
          <w:sz w:val="24"/>
          <w:szCs w:val="24"/>
        </w:rPr>
        <w:t xml:space="preserve">(Октябрьский р-н, с. Перегребное)</w:t>
      </w:r>
      <w:r>
        <w:rPr>
          <w:rFonts w:ascii="PT Astra Serif" w:hAnsi="PT Astra Serif" w:cs="PT Astra Serif"/>
          <w:b/>
          <w:color w:val="1d5da2"/>
          <w:sz w:val="24"/>
          <w:szCs w:val="24"/>
        </w:rPr>
      </w:r>
      <w:r>
        <w:rPr>
          <w:rFonts w:ascii="PT Astra Serif" w:hAnsi="PT Astra Serif" w:cs="PT Astra Serif"/>
          <w:b/>
          <w:color w:val="1d5da2"/>
          <w:sz w:val="24"/>
          <w:szCs w:val="24"/>
        </w:rPr>
      </w:r>
    </w:p>
    <w:p>
      <w:pPr>
        <w:pStyle w:val="878"/>
        <w:ind w:left="0"/>
        <w:jc w:val="center"/>
        <w:rPr>
          <w:rFonts w:ascii="PT Astra Serif" w:hAnsi="PT Astra Serif" w:cs="PT Astra Serif"/>
          <w:bCs/>
          <w:i/>
          <w:color w:val="000000"/>
          <w:sz w:val="24"/>
          <w:szCs w:val="24"/>
        </w:rPr>
      </w:pPr>
      <w:r>
        <w:rPr>
          <w:rFonts w:ascii="PT Astra Serif" w:hAnsi="PT Astra Serif" w:eastAsia="PT Astra Serif" w:cs="PT Astra Serif"/>
          <w:bCs/>
          <w:i/>
          <w:color w:val="000000"/>
          <w:sz w:val="24"/>
          <w:szCs w:val="24"/>
        </w:rPr>
        <w:t xml:space="preserve">имущество продается отдельными лотами</w:t>
      </w:r>
      <w:r>
        <w:rPr>
          <w:rFonts w:ascii="PT Astra Serif" w:hAnsi="PT Astra Serif" w:cs="PT Astra Serif"/>
          <w:bCs/>
          <w:i/>
          <w:color w:val="000000"/>
          <w:sz w:val="24"/>
          <w:szCs w:val="24"/>
        </w:rPr>
      </w:r>
      <w:r>
        <w:rPr>
          <w:rFonts w:ascii="PT Astra Serif" w:hAnsi="PT Astra Serif" w:cs="PT Astra Serif"/>
          <w:bCs/>
          <w:i/>
          <w:color w:val="000000"/>
          <w:sz w:val="24"/>
          <w:szCs w:val="24"/>
        </w:rPr>
      </w:r>
    </w:p>
    <w:p>
      <w:pPr>
        <w:pStyle w:val="871"/>
        <w:jc w:val="center"/>
        <w:rPr>
          <w:rStyle w:val="883"/>
          <w:rFonts w:ascii="PT Astra Serif" w:hAnsi="PT Astra Serif" w:cs="PT Astra Serif"/>
          <w:bCs w:val="0"/>
          <w:sz w:val="24"/>
          <w:szCs w:val="24"/>
        </w:rPr>
      </w:pPr>
      <w:r>
        <w:rPr>
          <w:rStyle w:val="883"/>
          <w:rFonts w:ascii="PT Astra Serif" w:hAnsi="PT Astra Serif" w:eastAsia="PT Astra Serif" w:cs="PT Astra Serif"/>
          <w:bCs w:val="0"/>
          <w:sz w:val="24"/>
          <w:szCs w:val="24"/>
        </w:rPr>
      </w:r>
      <w:r>
        <w:rPr>
          <w:rStyle w:val="883"/>
          <w:rFonts w:ascii="PT Astra Serif" w:hAnsi="PT Astra Serif" w:cs="PT Astra Serif"/>
          <w:bCs w:val="0"/>
          <w:sz w:val="24"/>
          <w:szCs w:val="24"/>
        </w:rPr>
      </w:r>
      <w:r>
        <w:rPr>
          <w:rStyle w:val="883"/>
          <w:rFonts w:ascii="PT Astra Serif" w:hAnsi="PT Astra Serif" w:cs="PT Astra Serif"/>
          <w:bCs w:val="0"/>
          <w:sz w:val="24"/>
          <w:szCs w:val="24"/>
        </w:rPr>
      </w:r>
    </w:p>
    <w:p>
      <w:pPr>
        <w:pStyle w:val="871"/>
        <w:numPr>
          <w:ilvl w:val="0"/>
          <w:numId w:val="16"/>
        </w:numPr>
        <w:ind w:lef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sz w:val="24"/>
          <w:szCs w:val="24"/>
        </w:rPr>
      </w:r>
      <w:bookmarkEnd w:id="0"/>
      <w:r>
        <w:rPr>
          <w:rFonts w:ascii="PT Astra Serif" w:hAnsi="PT Astra Serif" w:eastAsia="PT Astra Serif" w:cs="PT Astra Serif"/>
          <w:b/>
          <w:bCs/>
          <w:sz w:val="24"/>
          <w:szCs w:val="24"/>
          <w:lang w:eastAsia="en-US"/>
        </w:rPr>
        <w:t xml:space="preserve">Наименование конкурентной процедуры: </w:t>
      </w:r>
      <w:r>
        <w:rPr>
          <w:rFonts w:ascii="PT Astra Serif" w:hAnsi="PT Astra Serif" w:eastAsia="PT Astra Serif" w:cs="PT Astra Serif"/>
          <w:bCs/>
          <w:color w:val="000000"/>
          <w:sz w:val="24"/>
          <w:szCs w:val="24"/>
        </w:rPr>
        <w:t xml:space="preserve">открытый аукцион с повышением начальной цены, проводимый в электронной форме на электронной торговой площадке ООО ЭТП ГПБ</w:t>
      </w:r>
      <w:r>
        <w:rPr>
          <w:rFonts w:ascii="PT Astra Serif" w:hAnsi="PT Astra Serif" w:eastAsia="PT Astra Serif" w:cs="PT Astra Serif"/>
          <w:bCs/>
          <w:sz w:val="24"/>
          <w:szCs w:val="24"/>
        </w:rPr>
        <w:t xml:space="preserve">.</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contextualSpacing/>
        <w:ind w:left="0" w:firstLine="0"/>
        <w:jc w:val="both"/>
        <w:tabs>
          <w:tab w:val="left" w:pos="425" w:leader="none"/>
        </w:tabs>
        <w:rPr>
          <w:rFonts w:ascii="PT Astra Serif" w:hAnsi="PT Astra Serif" w:cs="PT Astra Serif"/>
          <w:bCs/>
          <w:sz w:val="24"/>
          <w:szCs w:val="24"/>
        </w:rPr>
      </w:pPr>
      <w:r>
        <w:rPr>
          <w:rFonts w:ascii="PT Astra Serif" w:hAnsi="PT Astra Serif" w:eastAsia="PT Astra Serif" w:cs="PT Astra Serif"/>
          <w:b/>
          <w:bCs/>
          <w:sz w:val="24"/>
          <w:szCs w:val="24"/>
        </w:rPr>
        <w:t xml:space="preserve">Сведения о продавце (собственнике) имущества: </w:t>
      </w:r>
      <w:r>
        <w:rPr>
          <w:rFonts w:ascii="PT Astra Serif" w:hAnsi="PT Astra Serif" w:eastAsia="PT Astra Serif" w:cs="PT Astra Serif"/>
          <w:bCs/>
          <w:sz w:val="24"/>
          <w:szCs w:val="24"/>
        </w:rPr>
        <w:t xml:space="preserve">ООО «Газпром трансгаз Югорск».</w:t>
      </w:r>
      <w:r>
        <w:rPr>
          <w:rFonts w:ascii="PT Astra Serif" w:hAnsi="PT Astra Serif" w:cs="PT Astra Serif"/>
          <w:bCs/>
          <w:sz w:val="24"/>
          <w:szCs w:val="24"/>
        </w:rPr>
      </w:r>
      <w:r>
        <w:rPr>
          <w:rFonts w:ascii="PT Astra Serif" w:hAnsi="PT Astra Serif" w:cs="PT Astra Serif"/>
          <w:bCs/>
          <w:sz w:val="24"/>
          <w:szCs w:val="24"/>
        </w:rPr>
      </w:r>
    </w:p>
    <w:p>
      <w:pPr>
        <w:pStyle w:val="871"/>
        <w:jc w:val="both"/>
        <w:tabs>
          <w:tab w:val="left" w:pos="425" w:leader="none"/>
        </w:tabs>
        <w:rPr>
          <w:rFonts w:ascii="PT Astra Serif" w:hAnsi="PT Astra Serif" w:cs="PT Astra Serif"/>
          <w:bCs/>
          <w:i/>
          <w:sz w:val="24"/>
          <w:szCs w:val="24"/>
        </w:rPr>
      </w:pPr>
      <w:r>
        <w:rPr>
          <w:rFonts w:ascii="PT Astra Serif" w:hAnsi="PT Astra Serif" w:eastAsia="PT Astra Serif" w:cs="PT Astra Serif"/>
          <w:bCs/>
          <w:i/>
          <w:sz w:val="24"/>
          <w:szCs w:val="24"/>
        </w:rPr>
        <w:t xml:space="preserve">Контактные данные:</w:t>
      </w:r>
      <w:r>
        <w:rPr>
          <w:rFonts w:ascii="PT Astra Serif" w:hAnsi="PT Astra Serif" w:cs="PT Astra Serif"/>
          <w:bCs/>
          <w:i/>
          <w:sz w:val="24"/>
          <w:szCs w:val="24"/>
        </w:rPr>
      </w:r>
      <w:r>
        <w:rPr>
          <w:rFonts w:ascii="PT Astra Serif" w:hAnsi="PT Astra Serif" w:cs="PT Astra Serif"/>
          <w:bCs/>
          <w:i/>
          <w:sz w:val="24"/>
          <w:szCs w:val="24"/>
        </w:rPr>
      </w:r>
    </w:p>
    <w:p>
      <w:pPr>
        <w:pStyle w:val="871"/>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Новикова Эльмира Раисовна, </w:t>
      </w:r>
      <w:r>
        <w:rPr>
          <w:rFonts w:ascii="PT Astra Serif" w:hAnsi="PT Astra Serif" w:cs="PT Astra Serif"/>
          <w:bCs/>
          <w:sz w:val="24"/>
          <w:szCs w:val="24"/>
        </w:rPr>
      </w:r>
      <w:r>
        <w:rPr>
          <w:rFonts w:ascii="PT Astra Serif" w:hAnsi="PT Astra Serif" w:cs="PT Astra Serif"/>
          <w:bCs/>
          <w:sz w:val="24"/>
          <w:szCs w:val="24"/>
        </w:rPr>
      </w:r>
    </w:p>
    <w:p>
      <w:pPr>
        <w:pStyle w:val="871"/>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тел.: +7(34675)2-23-07, +7</w:t>
      </w:r>
      <w:r>
        <w:rPr>
          <w:rFonts w:ascii="PT Astra Serif" w:hAnsi="PT Astra Serif" w:eastAsia="PT Astra Serif" w:cs="PT Astra Serif"/>
          <w:bCs/>
          <w:sz w:val="24"/>
          <w:szCs w:val="24"/>
          <w:lang w:val="en-US"/>
        </w:rPr>
        <w:t xml:space="preserve"> </w:t>
      </w:r>
      <w:r>
        <w:rPr>
          <w:rFonts w:ascii="PT Astra Serif" w:hAnsi="PT Astra Serif" w:eastAsia="PT Astra Serif" w:cs="PT Astra Serif"/>
          <w:bCs/>
          <w:sz w:val="24"/>
          <w:szCs w:val="24"/>
        </w:rPr>
        <w:t xml:space="preserve">9270881535,</w:t>
      </w:r>
      <w:r>
        <w:rPr>
          <w:rFonts w:ascii="PT Astra Serif" w:hAnsi="PT Astra Serif" w:cs="PT Astra Serif"/>
          <w:bCs/>
          <w:sz w:val="24"/>
          <w:szCs w:val="24"/>
        </w:rPr>
      </w:r>
      <w:r>
        <w:rPr>
          <w:rFonts w:ascii="PT Astra Serif" w:hAnsi="PT Astra Serif" w:cs="PT Astra Serif"/>
          <w:bCs/>
          <w:sz w:val="24"/>
          <w:szCs w:val="24"/>
        </w:rPr>
      </w:r>
    </w:p>
    <w:p>
      <w:pPr>
        <w:pStyle w:val="871"/>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эл.адрес: </w:t>
      </w:r>
      <w:r>
        <w:rPr>
          <w:rFonts w:ascii="PT Astra Serif" w:hAnsi="PT Astra Serif" w:eastAsia="PT Astra Serif" w:cs="PT Astra Serif"/>
          <w:bCs/>
          <w:sz w:val="24"/>
          <w:szCs w:val="24"/>
          <w:lang w:val="en-US"/>
        </w:rPr>
        <w:t xml:space="preserve">ER</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Novikova</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ttg</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gazprom</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ru</w:t>
      </w:r>
      <w:r>
        <w:rPr>
          <w:rFonts w:ascii="PT Astra Serif" w:hAnsi="PT Astra Serif" w:eastAsia="PT Astra Serif" w:cs="PT Astra Serif"/>
          <w:bCs/>
          <w:sz w:val="24"/>
          <w:szCs w:val="24"/>
        </w:rPr>
        <w:t xml:space="preserve">.</w:t>
      </w:r>
      <w:r>
        <w:rPr>
          <w:rFonts w:ascii="PT Astra Serif" w:hAnsi="PT Astra Serif" w:cs="PT Astra Serif"/>
          <w:bCs/>
          <w:sz w:val="24"/>
          <w:szCs w:val="24"/>
        </w:rPr>
      </w:r>
      <w:r>
        <w:rPr>
          <w:rFonts w:ascii="PT Astra Serif" w:hAnsi="PT Astra Serif" w:cs="PT Astra Serif"/>
          <w:bCs/>
          <w:sz w:val="24"/>
          <w:szCs w:val="24"/>
        </w:rPr>
      </w:r>
    </w:p>
    <w:p>
      <w:pPr>
        <w:pStyle w:val="871"/>
        <w:ind w:firstLine="709"/>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Все замечания и предложения по процедуре проведения настоящих торгов просим сообщать в ПАО «Газпром», адрес электронной почты: </w:t>
      </w:r>
      <w:r>
        <w:rPr>
          <w:rStyle w:val="876"/>
          <w:rFonts w:ascii="PT Astra Serif" w:hAnsi="PT Astra Serif" w:eastAsia="PT Astra Serif" w:cs="PT Astra Serif"/>
          <w:bCs/>
          <w:sz w:val="24"/>
          <w:szCs w:val="24"/>
        </w:rPr>
        <w:fldChar w:fldCharType="begin"/>
      </w:r>
      <w:r>
        <w:rPr>
          <w:rStyle w:val="876"/>
          <w:rFonts w:ascii="PT Astra Serif" w:hAnsi="PT Astra Serif" w:eastAsia="PT Astra Serif" w:cs="PT Astra Serif"/>
          <w:bCs/>
          <w:sz w:val="24"/>
          <w:szCs w:val="24"/>
        </w:rPr>
        <w:instrText xml:space="preserve"> HYPERLINK "mailto:inf@adm.gazprom.ru" </w:instrText>
      </w:r>
      <w:r>
        <w:rPr>
          <w:rStyle w:val="876"/>
          <w:rFonts w:ascii="PT Astra Serif" w:hAnsi="PT Astra Serif" w:eastAsia="PT Astra Serif" w:cs="PT Astra Serif"/>
          <w:bCs/>
          <w:sz w:val="24"/>
          <w:szCs w:val="24"/>
        </w:rPr>
        <w:fldChar w:fldCharType="separate"/>
      </w:r>
      <w:r>
        <w:rPr>
          <w:rStyle w:val="876"/>
          <w:rFonts w:ascii="PT Astra Serif" w:hAnsi="PT Astra Serif" w:eastAsia="PT Astra Serif" w:cs="PT Astra Serif"/>
          <w:bCs/>
          <w:sz w:val="24"/>
          <w:szCs w:val="24"/>
        </w:rPr>
        <w:t xml:space="preserve">inf@adm.gazprom.ru</w:t>
      </w:r>
      <w:r>
        <w:rPr>
          <w:rStyle w:val="876"/>
          <w:rFonts w:ascii="PT Astra Serif" w:hAnsi="PT Astra Serif" w:eastAsia="PT Astra Serif" w:cs="PT Astra Serif"/>
          <w:bCs/>
          <w:sz w:val="24"/>
          <w:szCs w:val="24"/>
        </w:rPr>
        <w:fldChar w:fldCharType="end"/>
      </w:r>
      <w:r>
        <w:rPr>
          <w:rFonts w:ascii="PT Astra Serif" w:hAnsi="PT Astra Serif" w:eastAsia="PT Astra Serif" w:cs="PT Astra Serif"/>
          <w:bCs/>
          <w:sz w:val="24"/>
          <w:szCs w:val="24"/>
        </w:rPr>
        <w:t xml:space="preserve">.</w:t>
      </w:r>
      <w:r>
        <w:rPr>
          <w:rFonts w:ascii="PT Astra Serif" w:hAnsi="PT Astra Serif" w:cs="PT Astra Serif"/>
          <w:bCs/>
          <w:sz w:val="24"/>
          <w:szCs w:val="24"/>
        </w:rPr>
      </w:r>
      <w:r>
        <w:rPr>
          <w:rFonts w:ascii="PT Astra Serif" w:hAnsi="PT Astra Serif" w:cs="PT Astra Serif"/>
          <w:bCs/>
          <w:sz w:val="24"/>
          <w:szCs w:val="24"/>
        </w:rPr>
      </w:r>
    </w:p>
    <w:p>
      <w:pPr>
        <w:pStyle w:val="871"/>
        <w:numPr>
          <w:ilvl w:val="0"/>
          <w:numId w:val="16"/>
        </w:numPr>
        <w:contextualSpacing/>
        <w:ind w:left="0" w:firstLine="0"/>
        <w:jc w:val="both"/>
        <w:tabs>
          <w:tab w:val="left" w:pos="425" w:leader="none"/>
        </w:tabs>
        <w:rPr>
          <w:rFonts w:ascii="PT Astra Serif" w:hAnsi="PT Astra Serif" w:cs="PT Astra Serif"/>
          <w:b/>
          <w:bCs/>
          <w:sz w:val="24"/>
          <w:szCs w:val="24"/>
        </w:rPr>
      </w:pPr>
      <w:r>
        <w:rPr>
          <w:rFonts w:ascii="PT Astra Serif" w:hAnsi="PT Astra Serif" w:eastAsia="PT Astra Serif" w:cs="PT Astra Serif"/>
          <w:b/>
          <w:bCs/>
          <w:sz w:val="24"/>
          <w:szCs w:val="24"/>
        </w:rPr>
        <w:t xml:space="preserve">Организатор конкурентной процедуры: </w:t>
      </w:r>
      <w:r>
        <w:rPr>
          <w:rFonts w:ascii="PT Astra Serif" w:hAnsi="PT Astra Serif" w:eastAsia="PT Astra Serif" w:cs="PT Astra Serif"/>
          <w:bCs/>
          <w:sz w:val="24"/>
          <w:szCs w:val="24"/>
        </w:rPr>
        <w:t xml:space="preserve">Общество с ограниченной ответственностью «Электронная торговая площадка ГПБ» (ООО ЭТП ГПБ), г. Москва, ул. Миклухо-Маклая, д.40, подвал, помещение I, ком 25.</w:t>
      </w:r>
      <w:r>
        <w:rPr>
          <w:rFonts w:ascii="PT Astra Serif" w:hAnsi="PT Astra Serif" w:cs="PT Astra Serif"/>
          <w:b/>
          <w:bCs/>
          <w:sz w:val="24"/>
          <w:szCs w:val="24"/>
        </w:rPr>
      </w:r>
      <w:r>
        <w:rPr>
          <w:rFonts w:ascii="PT Astra Serif" w:hAnsi="PT Astra Serif" w:cs="PT Astra Serif"/>
          <w:b/>
          <w:bCs/>
          <w:sz w:val="24"/>
          <w:szCs w:val="24"/>
        </w:rPr>
      </w:r>
    </w:p>
    <w:p>
      <w:pPr>
        <w:pStyle w:val="871"/>
        <w:jc w:val="both"/>
        <w:rPr>
          <w:rFonts w:ascii="PT Astra Serif" w:hAnsi="PT Astra Serif" w:cs="PT Astra Serif"/>
          <w:bCs/>
          <w:i w:val="0"/>
          <w:iCs w:val="0"/>
          <w:sz w:val="24"/>
          <w:szCs w:val="24"/>
        </w:rPr>
      </w:pPr>
      <w:r>
        <w:rPr>
          <w:rFonts w:ascii="PT Astra Serif" w:hAnsi="PT Astra Serif" w:eastAsia="PT Astra Serif" w:cs="PT Astra Serif"/>
          <w:bCs/>
          <w:i w:val="0"/>
          <w:iCs w:val="0"/>
          <w:sz w:val="24"/>
          <w:szCs w:val="24"/>
        </w:rPr>
        <w:t xml:space="preserve">Контактные лица:</w:t>
      </w:r>
      <w:r>
        <w:rPr>
          <w:rFonts w:ascii="PT Astra Serif" w:hAnsi="PT Astra Serif" w:cs="PT Astra Serif"/>
          <w:bCs/>
          <w:i w:val="0"/>
          <w:iCs w:val="0"/>
          <w:sz w:val="24"/>
          <w:szCs w:val="24"/>
        </w:rPr>
      </w:r>
      <w:r>
        <w:rPr>
          <w:rFonts w:ascii="PT Astra Serif" w:hAnsi="PT Astra Serif" w:cs="PT Astra Serif"/>
          <w:bCs/>
          <w:i w:val="0"/>
          <w:iCs w:val="0"/>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Гладыревская Екатерина Владимировна,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тел.: 8 (495) 276-00-51, доб.423,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эл.адрес: </w:t>
      </w:r>
      <w:r>
        <w:rPr>
          <w:rStyle w:val="876"/>
          <w:rFonts w:ascii="PT Astra Serif" w:hAnsi="PT Astra Serif" w:eastAsia="PT Astra Serif" w:cs="PT Astra Serif"/>
          <w:sz w:val="24"/>
          <w:szCs w:val="24"/>
        </w:rPr>
        <w:fldChar w:fldCharType="begin"/>
      </w:r>
      <w:r>
        <w:rPr>
          <w:rStyle w:val="876"/>
          <w:rFonts w:ascii="PT Astra Serif" w:hAnsi="PT Astra Serif" w:eastAsia="PT Astra Serif" w:cs="PT Astra Serif"/>
          <w:sz w:val="24"/>
          <w:szCs w:val="24"/>
        </w:rPr>
        <w:instrText xml:space="preserve"> HYPERLINK "mailto:e.gladyrevskaya@etpgpb.ru" </w:instrText>
      </w:r>
      <w:r>
        <w:rPr>
          <w:rStyle w:val="876"/>
          <w:rFonts w:ascii="PT Astra Serif" w:hAnsi="PT Astra Serif" w:eastAsia="PT Astra Serif" w:cs="PT Astra Serif"/>
          <w:sz w:val="24"/>
          <w:szCs w:val="24"/>
        </w:rPr>
        <w:fldChar w:fldCharType="separate"/>
      </w:r>
      <w:r>
        <w:rPr>
          <w:rStyle w:val="876"/>
          <w:rFonts w:ascii="PT Astra Serif" w:hAnsi="PT Astra Serif" w:eastAsia="PT Astra Serif" w:cs="PT Astra Serif"/>
          <w:sz w:val="24"/>
          <w:szCs w:val="24"/>
        </w:rPr>
        <w:t xml:space="preserve">e.gladyrevskaya@etpgpb.ru</w:t>
      </w:r>
      <w:r>
        <w:rPr>
          <w:rStyle w:val="876"/>
          <w:rFonts w:ascii="PT Astra Serif" w:hAnsi="PT Astra Serif" w:eastAsia="PT Astra Serif" w:cs="PT Astra Serif"/>
          <w:sz w:val="24"/>
          <w:szCs w:val="24"/>
        </w:rPr>
        <w:fldChar w:fldCharType="end"/>
      </w:r>
      <w:r>
        <w:rPr>
          <w:rFonts w:ascii="PT Astra Serif" w:hAnsi="PT Astra Serif" w:eastAsia="PT Astra Serif" w:cs="PT Astra Serif"/>
          <w:bCs/>
          <w:sz w:val="24"/>
          <w:szCs w:val="24"/>
        </w:rPr>
        <w:t xml:space="preserve">;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Лысенин Владимир Сергеевич,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тел.: 8 (495) 276-00-51, доб.421,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эл.адрес: </w:t>
      </w:r>
      <w:r>
        <w:rPr>
          <w:rFonts w:ascii="PT Astra Serif" w:hAnsi="PT Astra Serif" w:eastAsia="PT Astra Serif" w:cs="PT Astra Serif"/>
          <w:bCs/>
          <w:sz w:val="24"/>
          <w:szCs w:val="24"/>
        </w:rPr>
        <w:fldChar w:fldCharType="begin"/>
      </w:r>
      <w:r>
        <w:rPr>
          <w:rFonts w:ascii="PT Astra Serif" w:hAnsi="PT Astra Serif" w:eastAsia="PT Astra Serif" w:cs="PT Astra Serif"/>
          <w:bCs/>
          <w:sz w:val="24"/>
          <w:szCs w:val="24"/>
        </w:rPr>
        <w:instrText xml:space="preserve"> HYPERLINK "mailto:v.lysenin@etpgpb.ru" </w:instrText>
      </w:r>
      <w:r>
        <w:rPr>
          <w:rFonts w:ascii="PT Astra Serif" w:hAnsi="PT Astra Serif" w:eastAsia="PT Astra Serif" w:cs="PT Astra Serif"/>
          <w:bCs/>
          <w:sz w:val="24"/>
          <w:szCs w:val="24"/>
        </w:rPr>
        <w:fldChar w:fldCharType="separate"/>
      </w:r>
      <w:r>
        <w:rPr>
          <w:rFonts w:ascii="PT Astra Serif" w:hAnsi="PT Astra Serif" w:eastAsia="PT Astra Serif" w:cs="PT Astra Serif"/>
          <w:bCs/>
          <w:sz w:val="24"/>
          <w:szCs w:val="24"/>
        </w:rPr>
        <w:t xml:space="preserve">v.lysenin@etpgpb.ru</w:t>
      </w:r>
      <w:r>
        <w:rPr>
          <w:rFonts w:ascii="PT Astra Serif" w:hAnsi="PT Astra Serif" w:eastAsia="PT Astra Serif" w:cs="PT Astra Serif"/>
          <w:bCs/>
          <w:sz w:val="24"/>
          <w:szCs w:val="24"/>
        </w:rPr>
        <w:fldChar w:fldCharType="end"/>
      </w:r>
      <w:r>
        <w:rPr>
          <w:rFonts w:ascii="PT Astra Serif" w:hAnsi="PT Astra Serif" w:cs="PT Astra Serif"/>
          <w:bCs/>
          <w:sz w:val="24"/>
          <w:szCs w:val="24"/>
        </w:rPr>
      </w:r>
      <w:r>
        <w:rPr>
          <w:rFonts w:ascii="PT Astra Serif" w:hAnsi="PT Astra Serif" w:cs="PT Astra Serif"/>
          <w:bCs/>
          <w:sz w:val="24"/>
          <w:szCs w:val="24"/>
        </w:rPr>
      </w:r>
    </w:p>
    <w:p>
      <w:pPr>
        <w:pStyle w:val="878"/>
        <w:numPr>
          <w:ilvl w:val="0"/>
          <w:numId w:val="16"/>
        </w:numPr>
        <w:ind w:left="0" w:right="0" w:firstLine="0"/>
        <w:jc w:val="both"/>
        <w:tabs>
          <w:tab w:val="left" w:pos="425" w:leader="none"/>
        </w:tabs>
        <w:rPr>
          <w:rFonts w:ascii="PT Astra Serif" w:hAnsi="PT Astra Serif" w:cs="PT Astra Serif"/>
          <w:b/>
          <w:bCs/>
          <w:sz w:val="24"/>
          <w:szCs w:val="24"/>
        </w:rPr>
      </w:pPr>
      <w:r>
        <w:rPr>
          <w:rFonts w:ascii="PT Astra Serif" w:hAnsi="PT Astra Serif" w:eastAsia="PT Astra Serif" w:cs="PT Astra Serif"/>
          <w:b/>
          <w:bCs/>
          <w:sz w:val="24"/>
          <w:szCs w:val="24"/>
        </w:rPr>
        <w:t xml:space="preserve">Дата проведения конкурентной процедуры: «26» июня 2024 года в 12:00 (МСК).</w:t>
      </w:r>
      <w:r>
        <w:rPr>
          <w:rFonts w:ascii="PT Astra Serif" w:hAnsi="PT Astra Serif" w:cs="PT Astra Serif"/>
          <w:b/>
          <w:bCs/>
          <w:sz w:val="24"/>
          <w:szCs w:val="24"/>
        </w:rPr>
      </w:r>
      <w:r>
        <w:rPr>
          <w:rFonts w:ascii="PT Astra Serif" w:hAnsi="PT Astra Serif" w:cs="PT Astra Serif"/>
          <w:b/>
          <w:bCs/>
          <w:sz w:val="24"/>
          <w:szCs w:val="24"/>
        </w:rPr>
      </w:r>
    </w:p>
    <w:p>
      <w:pPr>
        <w:pStyle w:val="871"/>
        <w:numPr>
          <w:ilvl w:val="0"/>
          <w:numId w:val="16"/>
        </w:numPr>
        <w:ind w:left="0" w:righ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Дата и время начала приема заявок: «24» мая 2024 года в 12:00 (МСК).</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righ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Дата и время окончания приёма заявок: «24» июня 2024 года в 18:00 (МСК). </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righ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Дата рассмотрения заявок и допуск участников: «25» июня 2024 года, с 10:00 до 18:00 (МСК).</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Извещение о конкурентной процедуре размещается в сети Интернет на сайте ООО ЭТП ГПБ, https://etpgpb.ru/</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firstLine="0"/>
        <w:jc w:val="both"/>
        <w:tabs>
          <w:tab w:val="left" w:pos="425" w:leader="none"/>
        </w:tabs>
        <w:rPr>
          <w:rFonts w:ascii="PT Astra Serif" w:hAnsi="PT Astra Serif" w:cs="PT Astra Serif"/>
          <w:b w:val="0"/>
          <w:bCs w:val="0"/>
          <w:sz w:val="24"/>
          <w:szCs w:val="24"/>
        </w:rPr>
      </w:pPr>
      <w:r>
        <w:rPr>
          <w:rFonts w:ascii="PT Astra Serif" w:hAnsi="PT Astra Serif" w:eastAsia="PT Astra Serif" w:cs="PT Astra Serif"/>
          <w:b/>
          <w:bCs/>
          <w:sz w:val="24"/>
          <w:szCs w:val="24"/>
        </w:rPr>
        <w:t xml:space="preserve">Предмет конкурентной процедуры в электронной форме </w:t>
      </w:r>
      <w:r>
        <w:rPr>
          <w:rFonts w:ascii="PT Astra Serif" w:hAnsi="PT Astra Serif" w:eastAsia="PT Astra Serif" w:cs="PT Astra Serif"/>
          <w:b w:val="0"/>
          <w:bCs w:val="0"/>
          <w:sz w:val="24"/>
          <w:szCs w:val="24"/>
        </w:rPr>
        <w:t xml:space="preserve">(реализация отдельными лотами): </w:t>
      </w:r>
      <w:r>
        <w:rPr>
          <w:rFonts w:ascii="PT Astra Serif" w:hAnsi="PT Astra Serif" w:cs="PT Astra Serif"/>
          <w:b w:val="0"/>
          <w:bCs w:val="0"/>
          <w:sz w:val="24"/>
          <w:szCs w:val="24"/>
        </w:rPr>
      </w:r>
      <w:r>
        <w:rPr>
          <w:rFonts w:ascii="PT Astra Serif" w:hAnsi="PT Astra Serif" w:cs="PT Astra Serif"/>
          <w:b w:val="0"/>
          <w:bCs w:val="0"/>
          <w:sz w:val="24"/>
          <w:szCs w:val="24"/>
        </w:rPr>
      </w:r>
    </w:p>
    <w:p>
      <w:pPr>
        <w:ind w:left="0" w:firstLine="0"/>
        <w:jc w:val="both"/>
        <w:tabs>
          <w:tab w:val="left" w:pos="425" w:leader="none"/>
        </w:tabs>
        <w:rPr>
          <w:rFonts w:ascii="PT Astra Serif" w:hAnsi="PT Astra Serif" w:cs="PT Astra Serif"/>
          <w:b w:val="0"/>
          <w:bCs w:val="0"/>
          <w:sz w:val="24"/>
          <w:szCs w:val="24"/>
        </w:rPr>
      </w:pPr>
      <w:r>
        <w:rPr>
          <w:rFonts w:ascii="PT Astra Serif" w:hAnsi="PT Astra Serif" w:eastAsia="PT Astra Serif" w:cs="PT Astra Serif"/>
          <w:b w:val="0"/>
          <w:bCs w:val="0"/>
          <w:sz w:val="24"/>
          <w:szCs w:val="24"/>
          <w:highlight w:val="none"/>
          <w:lang w:eastAsia="en-US"/>
        </w:rPr>
      </w:r>
      <w:r>
        <w:rPr>
          <w:rFonts w:ascii="PT Astra Serif" w:hAnsi="PT Astra Serif" w:cs="PT Astra Serif"/>
          <w:b w:val="0"/>
          <w:bCs w:val="0"/>
          <w:sz w:val="24"/>
          <w:szCs w:val="24"/>
        </w:rPr>
      </w:r>
      <w:r>
        <w:rPr>
          <w:rFonts w:ascii="PT Astra Serif" w:hAnsi="PT Astra Serif" w:cs="PT Astra Serif"/>
          <w:b w:val="0"/>
          <w:bCs w:val="0"/>
          <w:sz w:val="24"/>
          <w:szCs w:val="24"/>
        </w:rPr>
      </w:r>
    </w:p>
    <w:p>
      <w:pPr>
        <w:pStyle w:val="871"/>
        <w:jc w:val="both"/>
        <w:rPr>
          <w:rFonts w:ascii="PT Astra Serif" w:hAnsi="PT Astra Serif" w:cs="PT Astra Serif"/>
          <w:bCs/>
          <w:color w:val="000000"/>
          <w:sz w:val="24"/>
          <w:szCs w:val="24"/>
        </w:rPr>
        <w:outlineLvl w:val="0"/>
      </w:pPr>
      <w:r>
        <w:rPr>
          <w:rFonts w:ascii="PT Astra Serif" w:hAnsi="PT Astra Serif" w:eastAsia="PT Astra Serif" w:cs="PT Astra Serif"/>
          <w:b/>
          <w:bCs/>
          <w:color w:val="000000"/>
          <w:sz w:val="24"/>
          <w:szCs w:val="24"/>
        </w:rPr>
        <w:t xml:space="preserve">Лот №1: продажа </w:t>
      </w:r>
      <w:r>
        <w:rPr>
          <w:rFonts w:ascii="PT Astra Serif" w:hAnsi="PT Astra Serif" w:eastAsia="PT Astra Serif" w:cs="PT Astra Serif"/>
          <w:b/>
          <w:bCs/>
          <w:color w:val="000000"/>
          <w:sz w:val="24"/>
          <w:szCs w:val="24"/>
          <w:lang w:eastAsia="en-US"/>
        </w:rPr>
        <w:t xml:space="preserve">Здани</w:t>
      </w:r>
      <w:r>
        <w:rPr>
          <w:rFonts w:ascii="PT Astra Serif" w:hAnsi="PT Astra Serif" w:eastAsia="PT Astra Serif" w:cs="PT Astra Serif"/>
          <w:b/>
          <w:bCs/>
          <w:color w:val="000000"/>
          <w:sz w:val="24"/>
          <w:szCs w:val="24"/>
          <w:lang w:eastAsia="en-US"/>
        </w:rPr>
        <w:t xml:space="preserve">я</w:t>
      </w:r>
      <w:r>
        <w:rPr>
          <w:rFonts w:ascii="PT Astra Serif" w:hAnsi="PT Astra Serif" w:eastAsia="PT Astra Serif" w:cs="PT Astra Serif"/>
          <w:b/>
          <w:bCs/>
          <w:color w:val="000000"/>
          <w:sz w:val="24"/>
          <w:szCs w:val="24"/>
          <w:lang w:eastAsia="en-US"/>
        </w:rPr>
        <w:t xml:space="preserve"> пекарни </w:t>
      </w:r>
      <w:r>
        <w:rPr>
          <w:rFonts w:ascii="PT Astra Serif" w:hAnsi="PT Astra Serif" w:eastAsia="PT Astra Serif" w:cs="PT Astra Serif"/>
          <w:bCs/>
          <w:sz w:val="24"/>
          <w:szCs w:val="24"/>
        </w:rPr>
        <w:t xml:space="preserve">(</w:t>
      </w:r>
      <w:r>
        <w:rPr>
          <w:rFonts w:ascii="PT Astra Serif" w:hAnsi="PT Astra Serif" w:eastAsia="PT Astra Serif" w:cs="PT Astra Serif"/>
          <w:sz w:val="24"/>
          <w:szCs w:val="24"/>
        </w:rPr>
        <w:t xml:space="preserve">кадастровый</w:t>
      </w:r>
      <w:r>
        <w:rPr>
          <w:rFonts w:ascii="PT Astra Serif" w:hAnsi="PT Astra Serif" w:eastAsia="PT Astra Serif" w:cs="PT Astra Serif"/>
          <w:sz w:val="24"/>
          <w:szCs w:val="24"/>
        </w:rPr>
        <w:t xml:space="preserve"> номер 86:07:0102004:4704)</w:t>
      </w:r>
      <w:r>
        <w:rPr>
          <w:rFonts w:ascii="PT Astra Serif" w:hAnsi="PT Astra Serif" w:eastAsia="PT Astra Serif" w:cs="PT Astra Serif"/>
          <w:bCs/>
          <w:color w:val="000000"/>
          <w:sz w:val="24"/>
          <w:szCs w:val="24"/>
          <w:lang w:eastAsia="en-US"/>
        </w:rPr>
        <w:t xml:space="preserve">, инв.№</w:t>
      </w:r>
      <w:r>
        <w:rPr>
          <w:rFonts w:ascii="PT Astra Serif" w:hAnsi="PT Astra Serif" w:eastAsia="PT Astra Serif" w:cs="PT Astra Serif"/>
          <w:bCs/>
          <w:color w:val="000000"/>
          <w:sz w:val="24"/>
          <w:szCs w:val="24"/>
          <w:lang w:eastAsia="en-US"/>
        </w:rPr>
        <w:t xml:space="preserve">№</w:t>
      </w:r>
      <w:r>
        <w:rPr>
          <w:rFonts w:ascii="PT Astra Serif" w:hAnsi="PT Astra Serif" w:eastAsia="PT Astra Serif" w:cs="PT Astra Serif"/>
          <w:bCs/>
          <w:color w:val="000000"/>
          <w:sz w:val="24"/>
          <w:szCs w:val="24"/>
          <w:lang w:eastAsia="en-US"/>
        </w:rPr>
        <w:t xml:space="preserve"> 10600000_0238, 10600000_0316,</w:t>
      </w:r>
      <w:r>
        <w:rPr>
          <w:rFonts w:ascii="PT Astra Serif" w:hAnsi="PT Astra Serif" w:eastAsia="PT Astra Serif" w:cs="PT Astra Serif"/>
          <w:b/>
          <w:bCs/>
          <w:color w:val="000000"/>
          <w:sz w:val="24"/>
          <w:szCs w:val="24"/>
          <w:lang w:eastAsia="en-US"/>
        </w:rPr>
        <w:t xml:space="preserve"> </w:t>
      </w:r>
      <w:r>
        <w:rPr>
          <w:rFonts w:ascii="PT Astra Serif" w:hAnsi="PT Astra Serif" w:eastAsia="PT Astra Serif" w:cs="PT Astra Serif"/>
          <w:bCs/>
          <w:color w:val="000000"/>
          <w:sz w:val="24"/>
          <w:szCs w:val="24"/>
          <w:lang w:eastAsia="en-US"/>
        </w:rPr>
        <w:t xml:space="preserve">для изготовления хлебобулочных изделий общей площадью 124 кв.м., основной площадью 81,6 кв.м., этажность – 1, подз.</w:t>
      </w:r>
      <w:r>
        <w:rPr>
          <w:rFonts w:ascii="PT Astra Serif" w:hAnsi="PT Astra Serif" w:eastAsia="PT Astra Serif" w:cs="PT Astra Serif"/>
          <w:bCs/>
          <w:color w:val="000000"/>
          <w:sz w:val="24"/>
          <w:szCs w:val="24"/>
          <w:lang w:eastAsia="en-US"/>
        </w:rPr>
        <w:t xml:space="preserve"> </w:t>
      </w:r>
      <w:r>
        <w:rPr>
          <w:rFonts w:ascii="PT Astra Serif" w:hAnsi="PT Astra Serif" w:eastAsia="PT Astra Serif" w:cs="PT Astra Serif"/>
          <w:bCs/>
          <w:color w:val="000000"/>
          <w:sz w:val="24"/>
          <w:szCs w:val="24"/>
          <w:lang w:eastAsia="en-US"/>
        </w:rPr>
        <w:t xml:space="preserve">этажность</w:t>
      </w:r>
      <w:r>
        <w:rPr>
          <w:rFonts w:ascii="PT Astra Serif" w:hAnsi="PT Astra Serif" w:eastAsia="PT Astra Serif" w:cs="PT Astra Serif"/>
          <w:bCs/>
          <w:color w:val="000000"/>
          <w:sz w:val="24"/>
          <w:szCs w:val="24"/>
          <w:lang w:eastAsia="en-US"/>
        </w:rPr>
        <w:t xml:space="preserve"> </w:t>
      </w:r>
      <w:r>
        <w:rPr>
          <w:rFonts w:ascii="PT Astra Serif" w:hAnsi="PT Astra Serif" w:eastAsia="PT Astra Serif" w:cs="PT Astra Serif"/>
          <w:bCs/>
          <w:color w:val="000000"/>
          <w:sz w:val="24"/>
          <w:szCs w:val="24"/>
          <w:lang w:eastAsia="en-US"/>
        </w:rPr>
        <w:t xml:space="preserve">- нет</w:t>
      </w:r>
      <w:r>
        <w:rPr>
          <w:rFonts w:ascii="PT Astra Serif" w:hAnsi="PT Astra Serif" w:eastAsia="PT Astra Serif" w:cs="PT Astra Serif"/>
          <w:bCs/>
          <w:color w:val="000000"/>
          <w:sz w:val="24"/>
          <w:szCs w:val="24"/>
          <w:lang w:eastAsia="en-US"/>
        </w:rPr>
        <w:t xml:space="preserve">.</w:t>
      </w:r>
      <w:r>
        <w:rPr>
          <w:rFonts w:ascii="PT Astra Serif" w:hAnsi="PT Astra Serif" w:eastAsia="PT Astra Serif" w:cs="PT Astra Serif"/>
          <w:bCs/>
          <w:color w:val="000000"/>
          <w:sz w:val="24"/>
          <w:szCs w:val="24"/>
          <w:lang w:eastAsia="en-US"/>
        </w:rPr>
        <w:t xml:space="preserve"> </w:t>
      </w:r>
      <w:r>
        <w:rPr>
          <w:rFonts w:ascii="PT Astra Serif" w:hAnsi="PT Astra Serif" w:cs="PT Astra Serif"/>
          <w:bCs/>
          <w:color w:val="000000"/>
          <w:sz w:val="24"/>
          <w:szCs w:val="24"/>
        </w:rPr>
      </w:r>
      <w:r>
        <w:rPr>
          <w:rFonts w:ascii="PT Astra Serif" w:hAnsi="PT Astra Serif" w:cs="PT Astra Serif"/>
          <w:bCs/>
          <w:color w:val="000000"/>
          <w:sz w:val="24"/>
          <w:szCs w:val="24"/>
        </w:rPr>
      </w:r>
    </w:p>
    <w:p>
      <w:pPr>
        <w:pStyle w:val="871"/>
        <w:ind w:firstLine="709"/>
        <w:jc w:val="both"/>
        <w:rPr>
          <w:rFonts w:ascii="PT Astra Serif" w:hAnsi="PT Astra Serif" w:cs="PT Astra Serif"/>
          <w:sz w:val="24"/>
          <w:szCs w:val="24"/>
        </w:rPr>
        <w:outlineLvl w:val="0"/>
      </w:pPr>
      <w:r>
        <w:rPr>
          <w:rFonts w:ascii="PT Astra Serif" w:hAnsi="PT Astra Serif" w:eastAsia="PT Astra Serif" w:cs="PT Astra Serif"/>
          <w:bCs/>
          <w:color w:val="000000"/>
          <w:sz w:val="24"/>
          <w:szCs w:val="24"/>
          <w:lang w:eastAsia="en-US"/>
        </w:rPr>
        <w:t xml:space="preserve">А</w:t>
      </w:r>
      <w:r>
        <w:rPr>
          <w:rFonts w:ascii="PT Astra Serif" w:hAnsi="PT Astra Serif" w:eastAsia="PT Astra Serif" w:cs="PT Astra Serif"/>
          <w:bCs/>
          <w:sz w:val="24"/>
          <w:szCs w:val="24"/>
          <w:lang w:eastAsia="en-US"/>
        </w:rPr>
        <w:t xml:space="preserve">дрес объекта: </w:t>
      </w:r>
      <w:r>
        <w:rPr>
          <w:rFonts w:ascii="PT Astra Serif" w:hAnsi="PT Astra Serif" w:eastAsia="PT Astra Serif" w:cs="PT Astra Serif"/>
          <w:sz w:val="24"/>
          <w:szCs w:val="24"/>
          <w:lang w:eastAsia="en-US"/>
        </w:rPr>
        <w:t xml:space="preserve">Ханты-Мансийский автономный округ – Югра, Октябрьский р-н, </w:t>
      </w:r>
      <w:r>
        <w:rPr>
          <w:rFonts w:ascii="PT Astra Serif" w:hAnsi="PT Astra Serif" w:eastAsia="PT Astra Serif" w:cs="PT Astra Serif"/>
          <w:b/>
          <w:sz w:val="24"/>
          <w:szCs w:val="24"/>
          <w:lang w:eastAsia="en-US"/>
        </w:rPr>
        <w:t xml:space="preserve">с. Перегребное</w:t>
      </w:r>
      <w:r>
        <w:rPr>
          <w:rFonts w:ascii="PT Astra Serif" w:hAnsi="PT Astra Serif" w:eastAsia="PT Astra Serif" w:cs="PT Astra Serif"/>
          <w:sz w:val="24"/>
          <w:szCs w:val="24"/>
          <w:lang w:eastAsia="en-US"/>
        </w:rPr>
        <w:t xml:space="preserve">, ул. Советская, д.21. </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outlineLvl w:val="0"/>
      </w:pPr>
      <w:r>
        <w:rPr>
          <w:rFonts w:ascii="PT Astra Serif" w:hAnsi="PT Astra Serif" w:eastAsia="PT Astra Serif" w:cs="PT Astra Serif"/>
          <w:sz w:val="24"/>
          <w:szCs w:val="24"/>
          <w:lang w:eastAsia="en-US"/>
        </w:rPr>
        <w:t xml:space="preserve">Имущество расположено на земельном участке, общей площадью 665 кв. м. Земельный участок находится в аренде у ООО «Газпром трансгаз Югорск» до 21.02.2033 на основании договора аренды № 73 от 31.07.2009 г. </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highlight w:val="none"/>
        </w:rPr>
        <w:outlineLvl w:val="0"/>
      </w:pPr>
      <w:r>
        <w:rPr>
          <w:rFonts w:ascii="PT Astra Serif" w:hAnsi="PT Astra Serif" w:eastAsia="PT Astra Serif" w:cs="PT Astra Serif"/>
          <w:sz w:val="24"/>
          <w:szCs w:val="24"/>
          <w:lang w:eastAsia="en-US"/>
        </w:rPr>
        <w:t xml:space="preserve">Техническая характеристика</w:t>
      </w:r>
      <w:r>
        <w:rPr>
          <w:rFonts w:ascii="PT Astra Serif" w:hAnsi="PT Astra Serif" w:eastAsia="PT Astra Serif" w:cs="PT Astra Serif"/>
          <w:sz w:val="24"/>
          <w:szCs w:val="24"/>
          <w:lang w:eastAsia="en-US"/>
        </w:rPr>
        <w:t xml:space="preserve"> объекта</w:t>
      </w:r>
      <w:r>
        <w:rPr>
          <w:rFonts w:ascii="PT Astra Serif" w:hAnsi="PT Astra Serif" w:eastAsia="PT Astra Serif" w:cs="PT Astra Serif"/>
          <w:sz w:val="24"/>
          <w:szCs w:val="24"/>
          <w:lang w:eastAsia="en-US"/>
        </w:rPr>
        <w:t xml:space="preserve">: отдельно стоящее здание, этажность 1; </w:t>
      </w:r>
      <w:r>
        <w:rPr>
          <w:rFonts w:ascii="PT Astra Serif" w:hAnsi="PT Astra Serif" w:eastAsia="PT Astra Serif" w:cs="PT Astra Serif"/>
          <w:sz w:val="24"/>
          <w:szCs w:val="24"/>
          <w:lang w:eastAsia="en-US"/>
        </w:rPr>
        <w:t xml:space="preserve">площадь по наружному обмеру 147,6 кв.м, длина 12,1 м, ширина12,2 м, высота 2,7 м, объем 399 м3. Площадь по внутреннему обмеру 124 кв.м, основная площадь 81,6 кв.м. Фундамент железобетонные блоки, стены металлические щитовые, крыша - железо, в наличии отопл</w:t>
      </w:r>
      <w:r>
        <w:rPr>
          <w:rFonts w:ascii="PT Astra Serif" w:hAnsi="PT Astra Serif" w:eastAsia="PT Astra Serif" w:cs="PT Astra Serif"/>
          <w:sz w:val="24"/>
          <w:szCs w:val="24"/>
          <w:lang w:eastAsia="en-US"/>
        </w:rPr>
        <w:t xml:space="preserve">ение, водопровод, канализация, электроосвещение. Оборудование Хлебопекарная печь - 2 шт. Мощность 68 кВт/380В-120А, производительность 2-х печей - 2 т. Быстроходная тестомесильная машина типа GYD-125/2, Моечная машина типа МС-135, мощность 55 кВт/380В-25А.</w:t>
      </w:r>
      <w:r>
        <w:rPr>
          <w:rFonts w:ascii="PT Astra Serif" w:hAnsi="PT Astra Serif" w:cs="PT Astra Serif"/>
          <w:sz w:val="24"/>
          <w:szCs w:val="24"/>
          <w:highlight w:val="none"/>
        </w:rPr>
      </w:r>
      <w:r>
        <w:rPr>
          <w:rFonts w:ascii="PT Astra Serif" w:hAnsi="PT Astra Serif" w:cs="PT Astra Serif"/>
          <w:sz w:val="24"/>
          <w:szCs w:val="24"/>
          <w:highlight w:val="none"/>
        </w:rPr>
      </w:r>
    </w:p>
    <w:p>
      <w:pPr>
        <w:ind w:firstLine="709"/>
        <w:jc w:val="both"/>
        <w:rPr>
          <w:rFonts w:ascii="PT Astra Serif" w:hAnsi="PT Astra Serif" w:cs="PT Astra Serif"/>
          <w:sz w:val="24"/>
          <w:szCs w:val="24"/>
        </w:rPr>
        <w:outlineLvl w:val="0"/>
      </w:pPr>
      <w:r>
        <w:rPr>
          <w:rFonts w:ascii="PT Astra Serif" w:hAnsi="PT Astra Serif" w:cs="PT Astra Serif"/>
          <w:sz w:val="24"/>
          <w:szCs w:val="24"/>
        </w:rPr>
      </w:r>
      <w:r>
        <w:rPr>
          <w:rFonts w:ascii="PT Astra Serif" w:hAnsi="PT Astra Serif" w:cs="PT Astra Serif"/>
          <w:sz w:val="24"/>
          <w:szCs w:val="24"/>
        </w:rPr>
      </w:r>
      <w:r>
        <w:rPr>
          <w:rFonts w:ascii="PT Astra Serif" w:hAnsi="PT Astra Serif" w:cs="PT Astra Serif"/>
          <w:sz w:val="24"/>
          <w:szCs w:val="24"/>
        </w:rPr>
      </w:r>
    </w:p>
    <w:p>
      <w:pPr>
        <w:ind w:firstLine="709"/>
        <w:jc w:val="both"/>
        <w:rPr>
          <w:rFonts w:ascii="PT Astra Serif" w:hAnsi="PT Astra Serif" w:cs="PT Astra Serif"/>
          <w:sz w:val="24"/>
          <w:szCs w:val="24"/>
        </w:rPr>
        <w:outlineLvl w:val="0"/>
      </w:pPr>
      <w:r>
        <w:rPr>
          <w:rFonts w:ascii="PT Astra Serif" w:hAnsi="PT Astra Serif" w:eastAsia="PT Astra Serif" w:cs="PT Astra Serif"/>
          <w:sz w:val="24"/>
          <w:szCs w:val="24"/>
          <w:highlight w:val="none"/>
        </w:rPr>
      </w:r>
      <w:r>
        <w:rPr>
          <w:rFonts w:ascii="PT Astra Serif" w:hAnsi="PT Astra Serif" w:cs="PT Astra Serif"/>
          <w:sz w:val="24"/>
          <w:szCs w:val="24"/>
        </w:rPr>
      </w:r>
      <w:r>
        <w:rPr>
          <w:rFonts w:ascii="PT Astra Serif" w:hAnsi="PT Astra Serif" w:cs="PT Astra Serif"/>
          <w:sz w:val="24"/>
          <w:szCs w:val="24"/>
        </w:rPr>
      </w:r>
    </w:p>
    <w:p>
      <w:pPr>
        <w:pStyle w:val="871"/>
        <w:jc w:val="both"/>
        <w:rPr>
          <w:rFonts w:ascii="PT Astra Serif" w:hAnsi="PT Astra Serif" w:cs="PT Astra Serif"/>
          <w:b/>
          <w:sz w:val="24"/>
          <w:szCs w:val="24"/>
        </w:rPr>
      </w:pPr>
      <w:r>
        <w:rPr>
          <w:rFonts w:ascii="PT Astra Serif" w:hAnsi="PT Astra Serif" w:eastAsia="PT Astra Serif" w:cs="PT Astra Serif"/>
          <w:b/>
          <w:sz w:val="24"/>
          <w:szCs w:val="24"/>
        </w:rPr>
        <w:t xml:space="preserve">О</w:t>
      </w:r>
      <w:r>
        <w:rPr>
          <w:rFonts w:ascii="PT Astra Serif" w:hAnsi="PT Astra Serif" w:eastAsia="PT Astra Serif" w:cs="PT Astra Serif"/>
          <w:b/>
          <w:sz w:val="24"/>
          <w:szCs w:val="24"/>
        </w:rPr>
        <w:t xml:space="preserve">граничения</w:t>
      </w:r>
      <w:r>
        <w:rPr>
          <w:rFonts w:ascii="PT Astra Serif" w:hAnsi="PT Astra Serif" w:eastAsia="PT Astra Serif" w:cs="PT Astra Serif"/>
          <w:b/>
          <w:sz w:val="24"/>
          <w:szCs w:val="24"/>
        </w:rPr>
        <w:t xml:space="preserve">: </w:t>
      </w:r>
      <w:r>
        <w:rPr>
          <w:rFonts w:ascii="PT Astra Serif" w:hAnsi="PT Astra Serif" w:cs="PT Astra Serif"/>
          <w:b/>
          <w:sz w:val="24"/>
          <w:szCs w:val="24"/>
        </w:rPr>
      </w:r>
      <w:r>
        <w:rPr>
          <w:rFonts w:ascii="PT Astra Serif" w:hAnsi="PT Astra Serif" w:cs="PT Astra Serif"/>
          <w:b/>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lang w:eastAsia="en-US"/>
        </w:rPr>
        <w:t xml:space="preserve">Объект расположен в границах зоны минимальных расстояний до объекта Единой системы газоснабжения «Газопровод-отвод и ГРС с. Перегребное», реестровый номер зоны 86:07-6.2319.</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lang w:eastAsia="en-US"/>
        </w:rPr>
        <w:t xml:space="preserve">В зоне минимальных расстояний объектов системы газоснабжения, без согласования с организацией – собственником системы газоснабжения или уполномоченной ею организацией запрещено ст</w:t>
      </w:r>
      <w:r>
        <w:rPr>
          <w:rFonts w:ascii="PT Astra Serif" w:hAnsi="PT Astra Serif" w:eastAsia="PT Astra Serif" w:cs="PT Astra Serif"/>
          <w:sz w:val="24"/>
          <w:szCs w:val="24"/>
          <w:lang w:eastAsia="en-US"/>
        </w:rPr>
        <w:t xml:space="preserve">р</w:t>
      </w:r>
      <w:r>
        <w:rPr>
          <w:rFonts w:ascii="PT Astra Serif" w:hAnsi="PT Astra Serif" w:eastAsia="PT Astra Serif" w:cs="PT Astra Serif"/>
          <w:sz w:val="24"/>
          <w:szCs w:val="24"/>
          <w:lang w:eastAsia="en-US"/>
        </w:rPr>
        <w:t xml:space="preserve">оить какие бы то ни было здания, с</w:t>
      </w:r>
      <w:r>
        <w:rPr>
          <w:rFonts w:ascii="PT Astra Serif" w:hAnsi="PT Astra Serif" w:eastAsia="PT Astra Serif" w:cs="PT Astra Serif"/>
          <w:sz w:val="24"/>
          <w:szCs w:val="24"/>
          <w:lang w:eastAsia="en-US"/>
        </w:rPr>
        <w:t xml:space="preserve">троения, сооружения.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физический лиц, допустивших нарушени</w:t>
      </w:r>
      <w:r>
        <w:rPr>
          <w:rFonts w:ascii="PT Astra Serif" w:hAnsi="PT Astra Serif" w:eastAsia="PT Astra Serif" w:cs="PT Astra Serif"/>
          <w:sz w:val="24"/>
          <w:szCs w:val="24"/>
          <w:lang w:eastAsia="en-US"/>
        </w:rPr>
        <w:t xml:space="preserve">я. Вмешательство в работу объектов систем газоснабжения не уполномоченных на то юридических и физический лиц запрещается. Владельцы земельных участков не имеют права препятствовать организации – собственнику системы газоснабжения или уполномоченной ею орга</w:t>
      </w:r>
      <w:r>
        <w:rPr>
          <w:rFonts w:ascii="PT Astra Serif" w:hAnsi="PT Astra Serif" w:eastAsia="PT Astra Serif" w:cs="PT Astra Serif"/>
          <w:sz w:val="24"/>
          <w:szCs w:val="24"/>
          <w:lang w:eastAsia="en-US"/>
        </w:rPr>
        <w:t xml:space="preserve">низацией в выполнении ими работ по обслуживанию и ремонту объектов системы газоснабжения, ликвидации последствий возникших на них аварий, катастроф, и иные действия согласно Федеральному закону от 31.03.1999 № 69-ФЗ «О газоснабжении в Российской Федерации»</w:t>
      </w:r>
      <w:r>
        <w:rPr>
          <w:rFonts w:ascii="PT Astra Serif" w:hAnsi="PT Astra Serif" w:eastAsia="PT Astra Serif" w:cs="PT Astra Serif"/>
          <w:sz w:val="24"/>
          <w:szCs w:val="24"/>
          <w:lang w:eastAsia="en-US"/>
        </w:rPr>
        <w:t xml:space="preserve">.</w:t>
      </w:r>
      <w:r>
        <w:rPr>
          <w:rFonts w:ascii="PT Astra Serif" w:hAnsi="PT Astra Serif" w:cs="PT Astra Serif"/>
          <w:sz w:val="24"/>
          <w:szCs w:val="24"/>
        </w:rPr>
      </w:r>
      <w:r>
        <w:rPr>
          <w:rFonts w:ascii="PT Astra Serif" w:hAnsi="PT Astra Serif" w:cs="PT Astra Serif"/>
          <w:sz w:val="24"/>
          <w:szCs w:val="24"/>
        </w:rPr>
      </w:r>
    </w:p>
    <w:p>
      <w:pPr>
        <w:pStyle w:val="871"/>
        <w:jc w:val="both"/>
        <w:rPr>
          <w:rFonts w:ascii="PT Astra Serif" w:hAnsi="PT Astra Serif" w:cs="PT Astra Serif"/>
          <w:b/>
          <w:sz w:val="28"/>
          <w:szCs w:val="28"/>
        </w:rPr>
        <w:outlineLvl w:val="0"/>
      </w:pPr>
      <w:r>
        <w:rPr>
          <w:rFonts w:ascii="PT Astra Serif" w:hAnsi="PT Astra Serif" w:eastAsia="PT Astra Serif" w:cs="PT Astra Serif"/>
          <w:b/>
          <w:sz w:val="28"/>
          <w:szCs w:val="28"/>
        </w:rPr>
      </w:r>
      <w:r>
        <w:rPr>
          <w:rFonts w:ascii="PT Astra Serif" w:hAnsi="PT Astra Serif" w:cs="PT Astra Serif"/>
          <w:b/>
          <w:sz w:val="28"/>
          <w:szCs w:val="28"/>
        </w:rPr>
      </w:r>
      <w:r>
        <w:rPr>
          <w:rFonts w:ascii="PT Astra Serif" w:hAnsi="PT Astra Serif" w:cs="PT Astra Serif"/>
          <w:b/>
          <w:sz w:val="28"/>
          <w:szCs w:val="28"/>
        </w:rPr>
      </w:r>
    </w:p>
    <w:p>
      <w:pPr>
        <w:pStyle w:val="871"/>
        <w:jc w:val="both"/>
        <w:rPr>
          <w:rFonts w:ascii="PT Astra Serif" w:hAnsi="PT Astra Serif" w:cs="PT Astra Serif"/>
          <w:sz w:val="28"/>
          <w:szCs w:val="28"/>
        </w:rPr>
        <w:outlineLvl w:val="0"/>
      </w:pPr>
      <w:r>
        <w:rPr>
          <w:rFonts w:ascii="PT Astra Serif" w:hAnsi="PT Astra Serif" w:eastAsia="PT Astra Serif" w:cs="PT Astra Serif"/>
          <w:sz w:val="28"/>
          <w:szCs w:val="28"/>
        </w:rPr>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2093935" cy="1659272"/>
                <wp:effectExtent l="6350" t="6350" r="6350" b="6350"/>
                <wp:docPr id="1" name="_x0000_i1029"/>
                <wp:cNvGraphicFramePr/>
                <a:graphic xmlns:a="http://schemas.openxmlformats.org/drawingml/2006/main">
                  <a:graphicData uri="http://schemas.openxmlformats.org/drawingml/2006/picture">
                    <pic:pic xmlns:pic="http://schemas.openxmlformats.org/drawingml/2006/picture">
                      <pic:nvPicPr>
                        <pic:cNvPr id="1897863043" name=""/>
                        <pic:cNvPicPr/>
                        <pic:nvPr/>
                      </pic:nvPicPr>
                      <pic:blipFill>
                        <a:blip r:embed="rId9"/>
                        <a:stretch/>
                      </pic:blipFill>
                      <pic:spPr bwMode="auto">
                        <a:xfrm flipH="0" flipV="0">
                          <a:off x="0" y="0"/>
                          <a:ext cx="2093934" cy="16592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64.88pt;height:130.65pt;mso-wrap-distance-left:0.00pt;mso-wrap-distance-top:0.00pt;mso-wrap-distance-right:0.00pt;mso-wrap-distance-bottom:0.00pt;" stroked="f">
                <v:path textboxrect="0,0,0,0"/>
                <v:imagedata r:id="rId9" o:title=""/>
              </v:shape>
            </w:pict>
          </mc:Fallback>
        </mc:AlternateContent>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1797050" cy="1659272"/>
                <wp:effectExtent l="6350" t="6350" r="6350" b="6350"/>
                <wp:docPr id="2" name="_x0000_i1030"/>
                <wp:cNvGraphicFramePr/>
                <a:graphic xmlns:a="http://schemas.openxmlformats.org/drawingml/2006/main">
                  <a:graphicData uri="http://schemas.openxmlformats.org/drawingml/2006/picture">
                    <pic:pic xmlns:pic="http://schemas.openxmlformats.org/drawingml/2006/picture">
                      <pic:nvPicPr>
                        <pic:cNvPr id="1878569673" name=""/>
                        <pic:cNvPicPr/>
                        <pic:nvPr/>
                      </pic:nvPicPr>
                      <pic:blipFill>
                        <a:blip r:embed="rId10"/>
                        <a:stretch/>
                      </pic:blipFill>
                      <pic:spPr bwMode="auto">
                        <a:xfrm flipH="0" flipV="0">
                          <a:off x="0" y="0"/>
                          <a:ext cx="1797049" cy="16592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41.50pt;height:130.65pt;mso-wrap-distance-left:0.00pt;mso-wrap-distance-top:0.00pt;mso-wrap-distance-right:0.00pt;mso-wrap-distance-bottom:0.00pt;" stroked="f">
                <v:path textboxrect="0,0,0,0"/>
                <v:imagedata r:id="rId10" o:title=""/>
              </v:shape>
            </w:pict>
          </mc:Fallback>
        </mc:AlternateContent>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1720850" cy="1659272"/>
                <wp:effectExtent l="6350" t="6350" r="6350" b="6350"/>
                <wp:docPr id="3" name="_x0000_i1031"/>
                <wp:cNvGraphicFramePr/>
                <a:graphic xmlns:a="http://schemas.openxmlformats.org/drawingml/2006/main">
                  <a:graphicData uri="http://schemas.openxmlformats.org/drawingml/2006/picture">
                    <pic:pic xmlns:pic="http://schemas.openxmlformats.org/drawingml/2006/picture">
                      <pic:nvPicPr>
                        <pic:cNvPr id="2099785727" name=""/>
                        <pic:cNvPicPr/>
                        <pic:nvPr/>
                      </pic:nvPicPr>
                      <pic:blipFill>
                        <a:blip r:embed="rId11"/>
                        <a:stretch/>
                      </pic:blipFill>
                      <pic:spPr bwMode="auto">
                        <a:xfrm flipH="0" flipV="0">
                          <a:off x="0" y="0"/>
                          <a:ext cx="1720849" cy="16592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35.50pt;height:130.65pt;mso-wrap-distance-left:0.00pt;mso-wrap-distance-top:0.00pt;mso-wrap-distance-right:0.00pt;mso-wrap-distance-bottom:0.00pt;" stroked="f">
                <v:path textboxrect="0,0,0,0"/>
                <v:imagedata r:id="rId11" o:title=""/>
              </v:shape>
            </w:pict>
          </mc:Fallback>
        </mc:AlternateContent>
      </w:r>
      <w:r>
        <w:rPr>
          <w:rFonts w:ascii="PT Astra Serif" w:hAnsi="PT Astra Serif" w:cs="PT Astra Serif"/>
          <w:sz w:val="28"/>
          <w:szCs w:val="28"/>
        </w:rPr>
      </w:r>
      <w:r>
        <w:rPr>
          <w:rFonts w:ascii="PT Astra Serif" w:hAnsi="PT Astra Serif" w:cs="PT Astra Serif"/>
          <w:sz w:val="28"/>
          <w:szCs w:val="28"/>
        </w:rPr>
      </w:r>
    </w:p>
    <w:p>
      <w:pPr>
        <w:pStyle w:val="871"/>
        <w:ind w:left="0"/>
        <w:jc w:val="both"/>
        <w:rPr>
          <w:rFonts w:ascii="PT Astra Serif" w:hAnsi="PT Astra Serif" w:cs="PT Astra Serif"/>
          <w:bCs/>
          <w:color w:val="000000"/>
          <w:sz w:val="28"/>
          <w:szCs w:val="28"/>
        </w:rPr>
      </w:pPr>
      <w:r>
        <w:rPr>
          <w:rFonts w:ascii="PT Astra Serif" w:hAnsi="PT Astra Serif" w:eastAsia="PT Astra Serif" w:cs="PT Astra Serif"/>
          <w:sz w:val="28"/>
          <w:szCs w:val="28"/>
        </w:rPr>
        <w:t xml:space="preserve">    </w:t>
      </w:r>
      <w:r>
        <w:rPr>
          <w:rFonts w:ascii="PT Astra Serif" w:hAnsi="PT Astra Serif" w:eastAsia="PT Astra Serif" w:cs="PT Astra Serif"/>
          <w:bCs/>
          <w:color w:val="000000"/>
          <w:sz w:val="28"/>
          <w:szCs w:val="28"/>
          <w:lang w:eastAsia="en-US"/>
        </w:rPr>
        <w:t xml:space="preserve"> </w:t>
      </w:r>
      <w:r>
        <w:rPr>
          <w:rFonts w:ascii="PT Astra Serif" w:hAnsi="PT Astra Serif" w:cs="PT Astra Serif"/>
          <w:bCs/>
          <w:color w:val="000000"/>
          <w:sz w:val="28"/>
          <w:szCs w:val="28"/>
        </w:rPr>
      </w:r>
      <w:r>
        <w:rPr>
          <w:rFonts w:ascii="PT Astra Serif" w:hAnsi="PT Astra Serif" w:cs="PT Astra Serif"/>
          <w:bCs/>
          <w:color w:val="000000"/>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3681"/>
        <w:gridCol w:w="6374"/>
      </w:tblGrid>
      <w:tr>
        <w:tblPrEx/>
        <w:trPr/>
        <w:tc>
          <w:tcPr>
            <w:tcBorders>
              <w:top w:val="none" w:color="000000" w:sz="0" w:space="0"/>
              <w:left w:val="none" w:color="000000" w:sz="0" w:space="0"/>
              <w:bottom w:val="none" w:color="000000" w:sz="0" w:space="0"/>
              <w:right w:val="none" w:color="000000" w:sz="0" w:space="0"/>
            </w:tcBorders>
            <w:tcW w:w="3681" w:type="dxa"/>
            <w:vAlign w:val="top"/>
            <w:textDirection w:val="lrTb"/>
            <w:noWrap w:val="false"/>
          </w:tcPr>
          <w:p>
            <w:pPr>
              <w:pStyle w:val="880"/>
              <w:jc w:val="left"/>
              <w:spacing w:after="0"/>
              <w:tabs>
                <w:tab w:val="left" w:pos="0" w:leader="none"/>
              </w:tabs>
              <w:rPr>
                <w:rFonts w:ascii="PT Astra Serif" w:hAnsi="PT Astra Serif" w:cs="PT Astra Serif"/>
                <w:b/>
                <w:bCs/>
                <w:sz w:val="28"/>
                <w:szCs w:val="28"/>
              </w:rPr>
            </w:pPr>
            <w:r>
              <w:rPr>
                <w:rFonts w:ascii="PT Astra Serif" w:hAnsi="PT Astra Serif" w:eastAsia="PT Astra Serif" w:cs="PT Astra Serif"/>
                <w:b/>
                <w:bCs/>
                <w:sz w:val="28"/>
                <w:szCs w:val="28"/>
              </w:rPr>
            </w:r>
            <w:r>
              <w:rPr>
                <w:rFonts w:ascii="PT Astra Serif" w:hAnsi="PT Astra Serif" w:eastAsia="PT Astra Serif" w:cs="PT Astra Serif"/>
                <w:b/>
                <w:bCs/>
                <w:sz w:val="28"/>
                <w:szCs w:val="28"/>
              </w:rPr>
              <w:t xml:space="preserve">Начальная цена лота без учета НДС </w:t>
            </w:r>
            <w:r>
              <w:rPr>
                <w:rFonts w:ascii="PT Astra Serif" w:hAnsi="PT Astra Serif" w:eastAsia="PT Astra Serif" w:cs="PT Astra Serif"/>
                <w:b/>
                <w:bCs/>
                <w:sz w:val="28"/>
                <w:szCs w:val="28"/>
              </w:rPr>
              <w:t xml:space="preserve"> №1:</w:t>
            </w:r>
            <w:r>
              <w:rPr>
                <w:rFonts w:ascii="PT Astra Serif" w:hAnsi="PT Astra Serif" w:cs="PT Astra Serif"/>
                <w:b/>
                <w:bCs/>
                <w:sz w:val="28"/>
                <w:szCs w:val="28"/>
              </w:rPr>
            </w:r>
            <w:r>
              <w:rPr>
                <w:rFonts w:ascii="PT Astra Serif" w:hAnsi="PT Astra Serif" w:cs="PT Astra Serif"/>
                <w:b/>
                <w:bCs/>
                <w:sz w:val="28"/>
                <w:szCs w:val="28"/>
              </w:rPr>
            </w:r>
          </w:p>
        </w:tc>
        <w:tc>
          <w:tcPr>
            <w:tcBorders>
              <w:top w:val="none" w:color="000000" w:sz="0" w:space="0"/>
              <w:left w:val="none" w:color="000000" w:sz="0" w:space="0"/>
              <w:bottom w:val="none" w:color="000000" w:sz="0" w:space="0"/>
              <w:right w:val="none" w:color="000000" w:sz="0" w:space="0"/>
            </w:tcBorders>
            <w:tcW w:w="6374" w:type="dxa"/>
            <w:vAlign w:val="top"/>
            <w:textDirection w:val="lrTb"/>
            <w:noWrap w:val="false"/>
          </w:tcPr>
          <w:p>
            <w:pPr>
              <w:pStyle w:val="871"/>
              <w:jc w:val="both"/>
              <w:rPr>
                <w:rFonts w:ascii="PT Astra Serif" w:hAnsi="PT Astra Serif" w:cs="PT Astra Serif"/>
                <w:b/>
                <w:bCs/>
                <w:sz w:val="28"/>
                <w:szCs w:val="28"/>
              </w:rPr>
            </w:pPr>
            <w:r>
              <w:rPr>
                <w:rFonts w:ascii="PT Astra Serif" w:hAnsi="PT Astra Serif" w:eastAsia="PT Astra Serif" w:cs="PT Astra Serif"/>
                <w:b/>
                <w:bCs/>
                <w:sz w:val="28"/>
                <w:szCs w:val="28"/>
              </w:rPr>
            </w:r>
            <w:r>
              <w:rPr>
                <w:rFonts w:ascii="PT Astra Serif" w:hAnsi="PT Astra Serif" w:cs="PT Astra Serif"/>
                <w:b/>
                <w:bCs/>
                <w:sz w:val="28"/>
                <w:szCs w:val="28"/>
              </w:rPr>
            </w:r>
            <w:r>
              <w:rPr>
                <w:rFonts w:ascii="PT Astra Serif" w:hAnsi="PT Astra Serif" w:cs="PT Astra Serif"/>
                <w:b/>
                <w:bCs/>
                <w:sz w:val="28"/>
                <w:szCs w:val="28"/>
              </w:rPr>
            </w:r>
          </w:p>
          <w:p>
            <w:pPr>
              <w:pStyle w:val="871"/>
              <w:jc w:val="both"/>
              <w:rPr>
                <w:rFonts w:ascii="PT Astra Serif" w:hAnsi="PT Astra Serif" w:cs="PT Astra Serif"/>
                <w:b/>
                <w:bCs/>
                <w:sz w:val="28"/>
                <w:szCs w:val="28"/>
              </w:rPr>
            </w:pPr>
            <w:r>
              <w:rPr>
                <w:rFonts w:ascii="PT Astra Serif" w:hAnsi="PT Astra Serif" w:eastAsia="PT Astra Serif" w:cs="PT Astra Serif"/>
                <w:b/>
                <w:bCs/>
                <w:sz w:val="28"/>
                <w:szCs w:val="28"/>
              </w:rPr>
              <w:t xml:space="preserve">758 333 руб. 33 коп. </w:t>
            </w:r>
            <w:r>
              <w:rPr>
                <w:rFonts w:ascii="PT Astra Serif" w:hAnsi="PT Astra Serif" w:cs="PT Astra Serif"/>
                <w:b/>
                <w:bCs/>
                <w:sz w:val="28"/>
                <w:szCs w:val="28"/>
              </w:rPr>
            </w:r>
            <w:r>
              <w:rPr>
                <w:rFonts w:ascii="PT Astra Serif" w:hAnsi="PT Astra Serif" w:cs="PT Astra Serif"/>
                <w:b/>
                <w:bCs/>
                <w:sz w:val="28"/>
                <w:szCs w:val="28"/>
              </w:rPr>
            </w:r>
          </w:p>
        </w:tc>
      </w:tr>
      <w:tr>
        <w:tblPrEx/>
        <w:trPr>
          <w:trHeight w:val="391"/>
        </w:trPr>
        <w:tc>
          <w:tcPr>
            <w:tcBorders>
              <w:top w:val="none" w:color="000000" w:sz="0" w:space="0"/>
              <w:left w:val="none" w:color="000000" w:sz="0" w:space="0"/>
              <w:bottom w:val="none" w:color="000000" w:sz="0" w:space="0"/>
              <w:right w:val="none" w:color="000000" w:sz="0" w:space="0"/>
            </w:tcBorders>
            <w:tcW w:w="3681" w:type="dxa"/>
            <w:vAlign w:val="top"/>
            <w:textDirection w:val="lrTb"/>
            <w:noWrap w:val="false"/>
          </w:tcPr>
          <w:p>
            <w:pPr>
              <w:pStyle w:val="885"/>
              <w:rPr>
                <w:rFonts w:ascii="PT Astra Serif" w:hAnsi="PT Astra Serif" w:cs="PT Astra Serif"/>
                <w:b/>
                <w:bCs/>
                <w:sz w:val="28"/>
                <w:szCs w:val="28"/>
                <w14:ligatures w14:val="none"/>
              </w:rPr>
            </w:pPr>
            <w:r>
              <w:rPr>
                <w:rFonts w:ascii="PT Astra Serif" w:hAnsi="PT Astra Serif" w:eastAsia="PT Astra Serif" w:cs="PT Astra Serif"/>
                <w:b/>
                <w:bCs/>
                <w:sz w:val="28"/>
                <w:szCs w:val="28"/>
              </w:rPr>
              <w:t xml:space="preserve">Сумма НДС:</w:t>
            </w:r>
            <w:r>
              <w:rPr>
                <w:rFonts w:ascii="PT Astra Serif" w:hAnsi="PT Astra Serif" w:cs="PT Astra Serif"/>
                <w:b/>
                <w:bCs/>
                <w:sz w:val="28"/>
                <w:szCs w:val="28"/>
                <w14:ligatures w14:val="none"/>
              </w:rPr>
            </w:r>
            <w:r>
              <w:rPr>
                <w:rFonts w:ascii="PT Astra Serif" w:hAnsi="PT Astra Serif" w:cs="PT Astra Serif"/>
                <w:b/>
                <w:bCs/>
                <w:sz w:val="28"/>
                <w:szCs w:val="28"/>
                <w14:ligatures w14:val="none"/>
              </w:rPr>
            </w:r>
          </w:p>
        </w:tc>
        <w:tc>
          <w:tcPr>
            <w:tcBorders>
              <w:top w:val="none" w:color="000000" w:sz="0" w:space="0"/>
              <w:left w:val="none" w:color="000000" w:sz="0" w:space="0"/>
              <w:bottom w:val="none" w:color="000000" w:sz="0" w:space="0"/>
              <w:right w:val="none" w:color="000000" w:sz="0" w:space="0"/>
            </w:tcBorders>
            <w:tcW w:w="6374" w:type="dxa"/>
            <w:vAlign w:val="top"/>
            <w:textDirection w:val="lrTb"/>
            <w:noWrap w:val="false"/>
          </w:tcPr>
          <w:p>
            <w:pPr>
              <w:pStyle w:val="885"/>
              <w:rPr>
                <w:rFonts w:ascii="PT Astra Serif" w:hAnsi="PT Astra Serif" w:cs="PT Astra Serif"/>
                <w:b/>
                <w:bCs/>
                <w:sz w:val="28"/>
                <w:szCs w:val="28"/>
                <w14:ligatures w14:val="none"/>
              </w:rPr>
            </w:pPr>
            <w:r>
              <w:rPr>
                <w:rFonts w:ascii="PT Astra Serif" w:hAnsi="PT Astra Serif" w:eastAsia="PT Astra Serif" w:cs="PT Astra Serif"/>
                <w:b/>
                <w:bCs/>
                <w:sz w:val="28"/>
                <w:szCs w:val="28"/>
              </w:rPr>
              <w:t xml:space="preserve">151 666 руб. 67 коп.</w:t>
            </w:r>
            <w:r>
              <w:rPr>
                <w:rFonts w:ascii="PT Astra Serif" w:hAnsi="PT Astra Serif" w:cs="PT Astra Serif"/>
                <w:b/>
                <w:bCs/>
                <w:sz w:val="28"/>
                <w:szCs w:val="28"/>
                <w14:ligatures w14:val="none"/>
              </w:rPr>
            </w:r>
            <w:r>
              <w:rPr>
                <w:rFonts w:ascii="PT Astra Serif" w:hAnsi="PT Astra Serif" w:cs="PT Astra Serif"/>
                <w:b/>
                <w:bCs/>
                <w:sz w:val="28"/>
                <w:szCs w:val="28"/>
                <w14:ligatures w14:val="none"/>
              </w:rPr>
            </w:r>
          </w:p>
        </w:tc>
      </w:tr>
      <w:tr>
        <w:tblPrEx/>
        <w:trPr>
          <w:trHeight w:val="885"/>
        </w:trPr>
        <w:tc>
          <w:tcPr>
            <w:tcBorders>
              <w:top w:val="none" w:color="000000" w:sz="0" w:space="0"/>
              <w:left w:val="none" w:color="000000" w:sz="0" w:space="0"/>
              <w:bottom w:val="none" w:color="000000" w:sz="0" w:space="0"/>
              <w:right w:val="none" w:color="000000" w:sz="0" w:space="0"/>
            </w:tcBorders>
            <w:tcW w:w="3681" w:type="dxa"/>
            <w:vAlign w:val="top"/>
            <w:textDirection w:val="lrTb"/>
            <w:noWrap w:val="false"/>
          </w:tcPr>
          <w:p>
            <w:pPr>
              <w:pStyle w:val="885"/>
              <w:rPr>
                <w:rFonts w:ascii="PT Astra Serif" w:hAnsi="PT Astra Serif" w:cs="PT Astra Serif"/>
                <w:b/>
                <w:bCs/>
                <w:sz w:val="28"/>
                <w:szCs w:val="28"/>
                <w14:ligatures w14:val="none"/>
              </w:rPr>
            </w:pPr>
            <w:r>
              <w:rPr>
                <w:rFonts w:ascii="PT Astra Serif" w:hAnsi="PT Astra Serif" w:eastAsia="PT Astra Serif" w:cs="PT Astra Serif"/>
                <w:b/>
                <w:bCs/>
                <w:sz w:val="28"/>
                <w:szCs w:val="28"/>
                <w:lang w:eastAsia="en-US"/>
              </w:rPr>
              <w:t xml:space="preserve">Начальная цена лота с учетом НДС:</w:t>
            </w:r>
            <w:r>
              <w:rPr>
                <w:rFonts w:ascii="PT Astra Serif" w:hAnsi="PT Astra Serif" w:cs="PT Astra Serif"/>
                <w:b/>
                <w:bCs/>
                <w:sz w:val="28"/>
                <w:szCs w:val="28"/>
                <w14:ligatures w14:val="none"/>
              </w:rPr>
            </w:r>
            <w:r>
              <w:rPr>
                <w:rFonts w:ascii="PT Astra Serif" w:hAnsi="PT Astra Serif" w:cs="PT Astra Serif"/>
                <w:b/>
                <w:bCs/>
                <w:sz w:val="28"/>
                <w:szCs w:val="28"/>
                <w14:ligatures w14:val="none"/>
              </w:rPr>
            </w:r>
          </w:p>
        </w:tc>
        <w:tc>
          <w:tcPr>
            <w:tcBorders>
              <w:top w:val="none" w:color="000000" w:sz="0" w:space="0"/>
              <w:left w:val="none" w:color="000000" w:sz="0" w:space="0"/>
              <w:bottom w:val="none" w:color="000000" w:sz="0" w:space="0"/>
              <w:right w:val="none" w:color="000000" w:sz="0" w:space="0"/>
            </w:tcBorders>
            <w:tcW w:w="6374" w:type="dxa"/>
            <w:vAlign w:val="top"/>
            <w:textDirection w:val="lrTb"/>
            <w:noWrap w:val="false"/>
          </w:tcPr>
          <w:p>
            <w:pPr>
              <w:pStyle w:val="885"/>
              <w:rPr>
                <w:rFonts w:ascii="PT Astra Serif" w:hAnsi="PT Astra Serif" w:cs="PT Astra Serif"/>
                <w:b/>
                <w:bCs/>
                <w:sz w:val="28"/>
                <w:szCs w:val="28"/>
                <w14:ligatures w14:val="none"/>
              </w:rPr>
            </w:pPr>
            <w:r>
              <w:rPr>
                <w:rFonts w:ascii="PT Astra Serif" w:hAnsi="PT Astra Serif" w:eastAsia="PT Astra Serif" w:cs="PT Astra Serif"/>
                <w:b/>
                <w:bCs/>
                <w:sz w:val="28"/>
                <w:szCs w:val="28"/>
                <w:lang w:eastAsia="en-US"/>
              </w:rPr>
            </w:r>
            <w:r>
              <w:rPr>
                <w:rFonts w:ascii="PT Astra Serif" w:hAnsi="PT Astra Serif" w:cs="PT Astra Serif"/>
                <w:b/>
                <w:bCs/>
                <w:sz w:val="28"/>
                <w:szCs w:val="28"/>
                <w14:ligatures w14:val="none"/>
              </w:rPr>
            </w:r>
            <w:r>
              <w:rPr>
                <w:rFonts w:ascii="PT Astra Serif" w:hAnsi="PT Astra Serif" w:cs="PT Astra Serif"/>
                <w:b/>
                <w:bCs/>
                <w:sz w:val="28"/>
                <w:szCs w:val="28"/>
                <w14:ligatures w14:val="none"/>
              </w:rPr>
            </w:r>
          </w:p>
          <w:p>
            <w:pPr>
              <w:pStyle w:val="885"/>
              <w:rPr>
                <w:rFonts w:ascii="PT Astra Serif" w:hAnsi="PT Astra Serif" w:cs="PT Astra Serif"/>
                <w:b/>
                <w:bCs/>
                <w:sz w:val="28"/>
                <w:szCs w:val="28"/>
                <w:highlight w:val="none"/>
                <w14:ligatures w14:val="none"/>
              </w:rPr>
            </w:pPr>
            <w:r>
              <w:rPr>
                <w:rFonts w:ascii="PT Astra Serif" w:hAnsi="PT Astra Serif" w:eastAsia="PT Astra Serif" w:cs="PT Astra Serif"/>
                <w:b/>
                <w:bCs/>
                <w:sz w:val="28"/>
                <w:szCs w:val="28"/>
                <w:lang w:eastAsia="en-US"/>
              </w:rPr>
              <w:t xml:space="preserve">910 000 руб. 00 коп. </w:t>
            </w:r>
            <w:r>
              <w:rPr>
                <w:rFonts w:ascii="PT Astra Serif" w:hAnsi="PT Astra Serif" w:cs="PT Astra Serif"/>
                <w:b/>
                <w:bCs/>
                <w:sz w:val="28"/>
                <w:szCs w:val="28"/>
                <w:highlight w:val="none"/>
                <w14:ligatures w14:val="none"/>
              </w:rPr>
            </w:r>
            <w:r>
              <w:rPr>
                <w:rFonts w:ascii="PT Astra Serif" w:hAnsi="PT Astra Serif" w:cs="PT Astra Serif"/>
                <w:b/>
                <w:bCs/>
                <w:sz w:val="28"/>
                <w:szCs w:val="28"/>
                <w:highlight w:val="none"/>
                <w14:ligatures w14:val="none"/>
              </w:rPr>
            </w:r>
          </w:p>
        </w:tc>
      </w:tr>
    </w:tbl>
    <w:p>
      <w:pPr>
        <w:ind w:firstLine="709"/>
        <w:jc w:val="both"/>
        <w:tabs>
          <w:tab w:val="left" w:pos="0" w:leader="none"/>
        </w:tabs>
        <w:rPr>
          <w:rFonts w:ascii="PT Astra Serif" w:hAnsi="PT Astra Serif" w:cs="PT Astra Serif"/>
          <w:b/>
          <w:bCs/>
          <w:sz w:val="28"/>
          <w:szCs w:val="28"/>
        </w:rPr>
      </w:pPr>
      <w:r>
        <w:rPr>
          <w:rFonts w:ascii="PT Astra Serif" w:hAnsi="PT Astra Serif" w:eastAsia="PT Astra Serif" w:cs="PT Astra Serif"/>
          <w:color w:val="000000"/>
          <w:sz w:val="28"/>
          <w:szCs w:val="28"/>
          <w:highlight w:val="none"/>
        </w:rPr>
      </w:r>
      <w:r>
        <w:rPr>
          <w:rFonts w:ascii="PT Astra Serif" w:hAnsi="PT Astra Serif" w:cs="PT Astra Serif"/>
          <w:b/>
          <w:bCs/>
          <w:sz w:val="28"/>
          <w:szCs w:val="28"/>
        </w:rPr>
      </w:r>
      <w:r>
        <w:rPr>
          <w:rFonts w:ascii="PT Astra Serif" w:hAnsi="PT Astra Serif" w:cs="PT Astra Serif"/>
          <w:b/>
          <w:bCs/>
          <w:sz w:val="28"/>
          <w:szCs w:val="28"/>
        </w:rPr>
      </w:r>
    </w:p>
    <w:p>
      <w:pPr>
        <w:pStyle w:val="871"/>
        <w:ind w:firstLine="709"/>
        <w:jc w:val="both"/>
        <w:tabs>
          <w:tab w:val="left" w:pos="0" w:leader="none"/>
        </w:tabs>
        <w:rPr>
          <w:rFonts w:ascii="PT Astra Serif" w:hAnsi="PT Astra Serif" w:cs="PT Astra Serif"/>
          <w:color w:val="000000"/>
          <w:sz w:val="24"/>
          <w:szCs w:val="24"/>
          <w:highlight w:val="none"/>
        </w:rPr>
      </w:pPr>
      <w:r>
        <w:rPr>
          <w:rFonts w:ascii="PT Astra Serif" w:hAnsi="PT Astra Serif" w:eastAsia="PT Astra Serif" w:cs="PT Astra Serif"/>
          <w:b/>
          <w:color w:val="000000"/>
          <w:sz w:val="24"/>
          <w:szCs w:val="24"/>
        </w:rPr>
        <w:t xml:space="preserve">Лот №2: продажа </w:t>
      </w:r>
      <w:r>
        <w:rPr>
          <w:rFonts w:ascii="PT Astra Serif" w:hAnsi="PT Astra Serif" w:eastAsia="PT Astra Serif" w:cs="PT Astra Serif"/>
          <w:b/>
          <w:bCs/>
          <w:color w:val="000000"/>
          <w:sz w:val="24"/>
          <w:szCs w:val="24"/>
        </w:rPr>
        <w:t xml:space="preserve">Здания холодного склада ОРСа, </w:t>
      </w:r>
      <w:r>
        <w:rPr>
          <w:rFonts w:ascii="PT Astra Serif" w:hAnsi="PT Astra Serif" w:eastAsia="PT Astra Serif" w:cs="PT Astra Serif"/>
          <w:bCs/>
          <w:color w:val="000000"/>
          <w:sz w:val="24"/>
          <w:szCs w:val="24"/>
        </w:rPr>
        <w:t xml:space="preserve">инв.№10600000_0223</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color w:val="000000"/>
          <w:sz w:val="24"/>
          <w:szCs w:val="24"/>
        </w:rPr>
        <w:t xml:space="preserve">нежилое строение, общей площадью 594,7 кв.м., этажность –</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color w:val="000000"/>
          <w:sz w:val="24"/>
          <w:szCs w:val="24"/>
        </w:rPr>
        <w:t xml:space="preserve">1,</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sz w:val="24"/>
          <w:szCs w:val="24"/>
        </w:rPr>
        <w:t xml:space="preserve">адрес объекта: Ханты</w:t>
      </w:r>
      <w:r>
        <w:rPr>
          <w:rFonts w:ascii="PT Astra Serif" w:hAnsi="PT Astra Serif" w:eastAsia="PT Astra Serif" w:cs="PT Astra Serif"/>
          <w:b/>
          <w:bCs/>
          <w:sz w:val="24"/>
          <w:szCs w:val="24"/>
        </w:rPr>
        <w:t xml:space="preserve">—</w:t>
      </w:r>
      <w:r>
        <w:rPr>
          <w:rFonts w:ascii="PT Astra Serif" w:hAnsi="PT Astra Serif" w:eastAsia="PT Astra Serif" w:cs="PT Astra Serif"/>
          <w:bCs/>
          <w:sz w:val="24"/>
          <w:szCs w:val="24"/>
        </w:rPr>
        <w:t xml:space="preserve">Мансийский автономный округ-Югра, Октябрьский р-н, </w:t>
      </w:r>
      <w:r>
        <w:rPr>
          <w:rFonts w:ascii="PT Astra Serif" w:hAnsi="PT Astra Serif" w:eastAsia="PT Astra Serif" w:cs="PT Astra Serif"/>
          <w:b/>
          <w:bCs/>
          <w:sz w:val="24"/>
          <w:szCs w:val="24"/>
        </w:rPr>
        <w:t xml:space="preserve">с. п. Перегребное. </w:t>
      </w:r>
      <w:r>
        <w:rPr>
          <w:rFonts w:ascii="PT Astra Serif" w:hAnsi="PT Astra Serif" w:eastAsia="PT Astra Serif" w:cs="PT Astra Serif"/>
          <w:bCs/>
          <w:sz w:val="24"/>
          <w:szCs w:val="24"/>
        </w:rPr>
        <w:t xml:space="preserve">Кадастровый номер </w:t>
      </w:r>
      <w:r>
        <w:rPr>
          <w:rFonts w:ascii="PT Astra Serif" w:hAnsi="PT Astra Serif" w:eastAsia="PT Astra Serif" w:cs="PT Astra Serif"/>
          <w:color w:val="000000"/>
          <w:sz w:val="24"/>
          <w:szCs w:val="24"/>
        </w:rPr>
        <w:t xml:space="preserve">86:07:0102004:4346.</w:t>
      </w:r>
      <w:r>
        <w:rPr>
          <w:rFonts w:ascii="PT Astra Serif" w:hAnsi="PT Astra Serif" w:cs="PT Astra Serif"/>
          <w:color w:val="000000"/>
          <w:sz w:val="24"/>
          <w:szCs w:val="24"/>
          <w:highlight w:val="none"/>
        </w:rPr>
      </w:r>
      <w:r>
        <w:rPr>
          <w:rFonts w:ascii="PT Astra Serif" w:hAnsi="PT Astra Serif" w:cs="PT Astra Serif"/>
          <w:color w:val="000000"/>
          <w:sz w:val="24"/>
          <w:szCs w:val="24"/>
          <w:highlight w:val="none"/>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rPr>
        <w:t xml:space="preserve">Имущество расположено на земельном участке, общей площадью 489 кв. м. Земельный участок находится в аренде у ООО «Газпром трансгаз Югорск» до 14.08.2033 года на основании договора аренды № 44 от 17.07.2009 г.</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tabs>
          <w:tab w:val="left" w:pos="0" w:leader="none"/>
        </w:tabs>
        <w:rPr>
          <w:rFonts w:ascii="PT Astra Serif" w:hAnsi="PT Astra Serif" w:cs="PT Astra Serif"/>
          <w:sz w:val="24"/>
          <w:szCs w:val="24"/>
        </w:rPr>
      </w:pPr>
      <w:r>
        <w:rPr>
          <w:rFonts w:ascii="PT Astra Serif" w:hAnsi="PT Astra Serif" w:eastAsia="PT Astra Serif" w:cs="PT Astra Serif"/>
          <w:bCs/>
          <w:sz w:val="24"/>
          <w:szCs w:val="24"/>
        </w:rPr>
        <w:t xml:space="preserve">Технические характеристики: </w:t>
      </w:r>
      <w:r>
        <w:rPr>
          <w:rFonts w:ascii="PT Astra Serif" w:hAnsi="PT Astra Serif" w:eastAsia="PT Astra Serif" w:cs="PT Astra Serif"/>
          <w:sz w:val="24"/>
          <w:szCs w:val="24"/>
        </w:rPr>
        <w:t xml:space="preserve">одноэтажное здание, отдельно стоящее здание. Площадь - 630,6м2, Длина - 36,24м. Ширина - 17,4м. Высота - 3,4/8,6 м. Фундаменты - бетонные, стены - бетонные, металлические, кровля- металлические.</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rPr>
        <w:t xml:space="preserve">Обременения отсутствуют.</w:t>
      </w:r>
      <w:r>
        <w:rPr>
          <w:rFonts w:ascii="PT Astra Serif" w:hAnsi="PT Astra Serif" w:cs="PT Astra Serif"/>
          <w:sz w:val="24"/>
          <w:szCs w:val="24"/>
        </w:rPr>
      </w:r>
      <w:r>
        <w:rPr>
          <w:rFonts w:ascii="PT Astra Serif" w:hAnsi="PT Astra Serif" w:cs="PT Astra Serif"/>
          <w:sz w:val="24"/>
          <w:szCs w:val="24"/>
        </w:rPr>
      </w:r>
    </w:p>
    <w:tbl>
      <w:tblPr>
        <w:tblW w:w="0" w:type="auto"/>
        <w:tblInd w:w="0" w:type="dxa"/>
        <w:tblLayout w:type="fixed"/>
        <w:tblCellMar>
          <w:left w:w="108" w:type="dxa"/>
          <w:top w:w="0" w:type="dxa"/>
          <w:right w:w="108" w:type="dxa"/>
          <w:bottom w:w="0" w:type="dxa"/>
        </w:tblCellMar>
        <w:tblLook w:val="04A0" w:firstRow="1" w:lastRow="0" w:firstColumn="1" w:lastColumn="0" w:noHBand="0" w:noVBand="1"/>
      </w:tblPr>
      <w:tblGrid>
        <w:gridCol w:w="5494"/>
        <w:gridCol w:w="4561"/>
      </w:tblGrid>
      <w:tr>
        <w:tblPrEx/>
        <w:trPr/>
        <w:tc>
          <w:tcPr>
            <w:tcBorders>
              <w:top w:val="none" w:color="000000" w:sz="0" w:space="0"/>
              <w:left w:val="none" w:color="000000" w:sz="0" w:space="0"/>
              <w:bottom w:val="none" w:color="000000" w:sz="0" w:space="0"/>
              <w:right w:val="none" w:color="000000" w:sz="0" w:space="0"/>
            </w:tcBorders>
            <w:tcW w:w="5494" w:type="dxa"/>
            <w:vAlign w:val="top"/>
            <w:textDirection w:val="lrTb"/>
            <w:noWrap w:val="false"/>
          </w:tcPr>
          <w:p>
            <w:pPr>
              <w:pStyle w:val="880"/>
              <w:jc w:val="left"/>
              <w:spacing w:after="0"/>
              <w:tabs>
                <w:tab w:val="left" w:pos="0" w:leader="none"/>
              </w:tabs>
              <w:rPr>
                <w:rFonts w:ascii="PT Astra Serif" w:hAnsi="PT Astra Serif" w:cs="PT Astra Serif"/>
                <w:b/>
                <w:bCs/>
                <w:sz w:val="28"/>
                <w:szCs w:val="28"/>
              </w:rPr>
            </w:pPr>
            <w:r>
              <w:rPr>
                <w:rFonts w:ascii="PT Astra Serif" w:hAnsi="PT Astra Serif" w:eastAsia="PT Astra Serif" w:cs="PT Astra Serif"/>
                <w:b/>
                <w:bCs/>
                <w:sz w:val="28"/>
                <w:szCs w:val="28"/>
              </w:rPr>
              <w:t xml:space="preserve">Начальная цена лота без учета НДС №2:</w:t>
            </w:r>
            <w:r>
              <w:rPr>
                <w:rFonts w:ascii="PT Astra Serif" w:hAnsi="PT Astra Serif" w:cs="PT Astra Serif"/>
                <w:b/>
                <w:bCs/>
                <w:sz w:val="28"/>
                <w:szCs w:val="28"/>
              </w:rPr>
            </w:r>
            <w:r>
              <w:rPr>
                <w:rFonts w:ascii="PT Astra Serif" w:hAnsi="PT Astra Serif" w:cs="PT Astra Serif"/>
                <w:b/>
                <w:bCs/>
                <w:sz w:val="28"/>
                <w:szCs w:val="28"/>
              </w:rPr>
            </w:r>
          </w:p>
        </w:tc>
        <w:tc>
          <w:tcPr>
            <w:tcBorders>
              <w:top w:val="none" w:color="000000" w:sz="0" w:space="0"/>
              <w:left w:val="none" w:color="000000" w:sz="0" w:space="0"/>
              <w:bottom w:val="none" w:color="000000" w:sz="0" w:space="0"/>
              <w:right w:val="none" w:color="000000" w:sz="0" w:space="0"/>
            </w:tcBorders>
            <w:tcW w:w="4561" w:type="dxa"/>
            <w:vAlign w:val="top"/>
            <w:textDirection w:val="lrTb"/>
            <w:noWrap w:val="false"/>
          </w:tcPr>
          <w:p>
            <w:pPr>
              <w:pStyle w:val="871"/>
              <w:jc w:val="both"/>
              <w:rPr>
                <w:rFonts w:ascii="PT Astra Serif" w:hAnsi="PT Astra Serif" w:cs="PT Astra Serif"/>
                <w:b/>
                <w:bCs/>
                <w:sz w:val="28"/>
                <w:szCs w:val="28"/>
              </w:rPr>
            </w:pPr>
            <w:r>
              <w:rPr>
                <w:rFonts w:ascii="PT Astra Serif" w:hAnsi="PT Astra Serif" w:eastAsia="PT Astra Serif" w:cs="PT Astra Serif"/>
                <w:b/>
                <w:bCs/>
                <w:sz w:val="28"/>
                <w:szCs w:val="28"/>
              </w:rPr>
              <w:t xml:space="preserve">775 000 руб. 00 коп. </w:t>
            </w:r>
            <w:r>
              <w:rPr>
                <w:rFonts w:ascii="PT Astra Serif" w:hAnsi="PT Astra Serif" w:cs="PT Astra Serif"/>
                <w:b/>
                <w:bCs/>
                <w:sz w:val="28"/>
                <w:szCs w:val="28"/>
              </w:rPr>
            </w:r>
            <w:r>
              <w:rPr>
                <w:rFonts w:ascii="PT Astra Serif" w:hAnsi="PT Astra Serif" w:cs="PT Astra Serif"/>
                <w:b/>
                <w:bCs/>
                <w:sz w:val="28"/>
                <w:szCs w:val="28"/>
              </w:rPr>
            </w:r>
          </w:p>
        </w:tc>
      </w:tr>
      <w:tr>
        <w:tblPrEx/>
        <w:trPr>
          <w:trHeight w:val="491"/>
        </w:trPr>
        <w:tc>
          <w:tcPr>
            <w:tcBorders>
              <w:top w:val="none" w:color="000000" w:sz="0" w:space="0"/>
              <w:left w:val="none" w:color="000000" w:sz="0" w:space="0"/>
              <w:bottom w:val="none" w:color="000000" w:sz="0" w:space="0"/>
              <w:right w:val="none" w:color="000000" w:sz="0" w:space="0"/>
            </w:tcBorders>
            <w:tcW w:w="5494" w:type="dxa"/>
            <w:vAlign w:val="top"/>
            <w:textDirection w:val="lrTb"/>
            <w:noWrap w:val="false"/>
          </w:tcPr>
          <w:p>
            <w:pPr>
              <w:pStyle w:val="880"/>
              <w:jc w:val="left"/>
              <w:spacing w:after="0"/>
              <w:tabs>
                <w:tab w:val="left" w:pos="0" w:leader="none"/>
              </w:tabs>
              <w:rPr>
                <w:rFonts w:ascii="PT Astra Serif" w:hAnsi="PT Astra Serif" w:cs="PT Astra Serif"/>
                <w:b/>
                <w:bCs/>
                <w:sz w:val="28"/>
                <w:szCs w:val="28"/>
              </w:rPr>
            </w:pPr>
            <w:r>
              <w:rPr>
                <w:rFonts w:ascii="PT Astra Serif" w:hAnsi="PT Astra Serif" w:eastAsia="PT Astra Serif" w:cs="PT Astra Serif"/>
                <w:b/>
                <w:bCs/>
                <w:sz w:val="28"/>
                <w:szCs w:val="28"/>
              </w:rPr>
              <w:t xml:space="preserve">Сумма НДС:</w:t>
            </w:r>
            <w:r>
              <w:rPr>
                <w:rFonts w:ascii="PT Astra Serif" w:hAnsi="PT Astra Serif" w:cs="PT Astra Serif"/>
                <w:b/>
                <w:bCs/>
                <w:sz w:val="28"/>
                <w:szCs w:val="28"/>
              </w:rPr>
            </w:r>
            <w:r>
              <w:rPr>
                <w:rFonts w:ascii="PT Astra Serif" w:hAnsi="PT Astra Serif" w:cs="PT Astra Serif"/>
                <w:b/>
                <w:bCs/>
                <w:sz w:val="28"/>
                <w:szCs w:val="28"/>
              </w:rPr>
            </w:r>
          </w:p>
        </w:tc>
        <w:tc>
          <w:tcPr>
            <w:tcBorders>
              <w:top w:val="none" w:color="000000" w:sz="0" w:space="0"/>
              <w:left w:val="none" w:color="000000" w:sz="0" w:space="0"/>
              <w:bottom w:val="none" w:color="000000" w:sz="0" w:space="0"/>
              <w:right w:val="none" w:color="000000" w:sz="0" w:space="0"/>
            </w:tcBorders>
            <w:tcW w:w="4561" w:type="dxa"/>
            <w:vAlign w:val="top"/>
            <w:textDirection w:val="lrTb"/>
            <w:noWrap w:val="false"/>
          </w:tcPr>
          <w:p>
            <w:pPr>
              <w:pStyle w:val="880"/>
              <w:spacing w:after="0"/>
              <w:tabs>
                <w:tab w:val="left" w:pos="0" w:leader="none"/>
              </w:tabs>
              <w:rPr>
                <w:rFonts w:ascii="PT Astra Serif" w:hAnsi="PT Astra Serif" w:cs="PT Astra Serif"/>
                <w:b/>
                <w:bCs/>
                <w:sz w:val="28"/>
                <w:szCs w:val="28"/>
              </w:rPr>
            </w:pPr>
            <w:r>
              <w:rPr>
                <w:rFonts w:ascii="PT Astra Serif" w:hAnsi="PT Astra Serif" w:eastAsia="PT Astra Serif" w:cs="PT Astra Serif"/>
                <w:b/>
                <w:bCs/>
                <w:sz w:val="28"/>
                <w:szCs w:val="28"/>
              </w:rPr>
              <w:t xml:space="preserve">155 000 руб. 00 коп.</w:t>
            </w:r>
            <w:r>
              <w:rPr>
                <w:rFonts w:ascii="PT Astra Serif" w:hAnsi="PT Astra Serif" w:cs="PT Astra Serif"/>
                <w:b/>
                <w:bCs/>
                <w:sz w:val="28"/>
                <w:szCs w:val="28"/>
              </w:rPr>
            </w:r>
            <w:r>
              <w:rPr>
                <w:rFonts w:ascii="PT Astra Serif" w:hAnsi="PT Astra Serif" w:cs="PT Astra Serif"/>
                <w:b/>
                <w:bCs/>
                <w:sz w:val="28"/>
                <w:szCs w:val="28"/>
              </w:rPr>
            </w:r>
          </w:p>
        </w:tc>
      </w:tr>
      <w:tr>
        <w:tblPrEx/>
        <w:trPr>
          <w:trHeight w:val="701"/>
        </w:trPr>
        <w:tc>
          <w:tcPr>
            <w:tcBorders>
              <w:top w:val="none" w:color="000000" w:sz="0" w:space="0"/>
              <w:left w:val="none" w:color="000000" w:sz="0" w:space="0"/>
              <w:bottom w:val="none" w:color="000000" w:sz="0" w:space="0"/>
              <w:right w:val="none" w:color="000000" w:sz="0" w:space="0"/>
            </w:tcBorders>
            <w:tcW w:w="5494" w:type="dxa"/>
            <w:vAlign w:val="top"/>
            <w:textDirection w:val="lrTb"/>
            <w:noWrap w:val="false"/>
          </w:tcPr>
          <w:p>
            <w:pPr>
              <w:pStyle w:val="880"/>
              <w:jc w:val="left"/>
              <w:spacing w:after="0"/>
              <w:tabs>
                <w:tab w:val="left" w:pos="0" w:leader="none"/>
              </w:tabs>
              <w:rPr>
                <w:rFonts w:ascii="PT Astra Serif" w:hAnsi="PT Astra Serif" w:cs="PT Astra Serif"/>
                <w:b/>
                <w:bCs/>
                <w:sz w:val="28"/>
                <w:szCs w:val="28"/>
              </w:rPr>
            </w:pPr>
            <w:r>
              <w:rPr>
                <w:rFonts w:ascii="PT Astra Serif" w:hAnsi="PT Astra Serif" w:eastAsia="PT Astra Serif" w:cs="PT Astra Serif"/>
                <w:b/>
                <w:bCs/>
                <w:sz w:val="28"/>
                <w:szCs w:val="28"/>
                <w:lang w:eastAsia="en-US"/>
              </w:rPr>
              <w:t xml:space="preserve">Начальная цена лота с учетом НДС:</w:t>
            </w:r>
            <w:r>
              <w:rPr>
                <w:rFonts w:ascii="PT Astra Serif" w:hAnsi="PT Astra Serif" w:cs="PT Astra Serif"/>
                <w:b/>
                <w:bCs/>
                <w:sz w:val="28"/>
                <w:szCs w:val="28"/>
              </w:rPr>
            </w:r>
            <w:r>
              <w:rPr>
                <w:rFonts w:ascii="PT Astra Serif" w:hAnsi="PT Astra Serif" w:cs="PT Astra Serif"/>
                <w:b/>
                <w:bCs/>
                <w:sz w:val="28"/>
                <w:szCs w:val="28"/>
              </w:rPr>
            </w:r>
          </w:p>
        </w:tc>
        <w:tc>
          <w:tcPr>
            <w:tcBorders>
              <w:top w:val="none" w:color="000000" w:sz="0" w:space="0"/>
              <w:left w:val="none" w:color="000000" w:sz="0" w:space="0"/>
              <w:bottom w:val="none" w:color="000000" w:sz="0" w:space="0"/>
              <w:right w:val="none" w:color="000000" w:sz="0" w:space="0"/>
            </w:tcBorders>
            <w:tcW w:w="4561" w:type="dxa"/>
            <w:vAlign w:val="top"/>
            <w:textDirection w:val="lrTb"/>
            <w:noWrap w:val="false"/>
          </w:tcPr>
          <w:p>
            <w:pPr>
              <w:pStyle w:val="871"/>
              <w:jc w:val="both"/>
              <w:rPr>
                <w:rFonts w:ascii="PT Astra Serif" w:hAnsi="PT Astra Serif" w:cs="PT Astra Serif"/>
                <w:b/>
                <w:bCs/>
                <w:sz w:val="28"/>
                <w:szCs w:val="28"/>
              </w:rPr>
            </w:pPr>
            <w:r>
              <w:rPr>
                <w:rFonts w:ascii="PT Astra Serif" w:hAnsi="PT Astra Serif" w:eastAsia="PT Astra Serif" w:cs="PT Astra Serif"/>
                <w:b/>
                <w:bCs/>
                <w:sz w:val="28"/>
                <w:szCs w:val="28"/>
                <w:lang w:eastAsia="en-US"/>
              </w:rPr>
              <w:t xml:space="preserve">930 000 руб. 00 коп. </w:t>
            </w:r>
            <w:r>
              <w:rPr>
                <w:rFonts w:ascii="PT Astra Serif" w:hAnsi="PT Astra Serif" w:cs="PT Astra Serif"/>
                <w:b/>
                <w:bCs/>
                <w:sz w:val="28"/>
                <w:szCs w:val="28"/>
              </w:rPr>
            </w:r>
            <w:r>
              <w:rPr>
                <w:rFonts w:ascii="PT Astra Serif" w:hAnsi="PT Astra Serif" w:cs="PT Astra Serif"/>
                <w:b/>
                <w:bCs/>
                <w:sz w:val="28"/>
                <w:szCs w:val="28"/>
              </w:rPr>
            </w:r>
          </w:p>
        </w:tc>
      </w:tr>
    </w:tbl>
    <w:p>
      <w:pPr>
        <w:pStyle w:val="880"/>
        <w:contextualSpacing/>
        <w:ind w:firstLine="426"/>
        <w:spacing w:after="0"/>
        <w:tabs>
          <w:tab w:val="left" w:pos="0" w:leader="none"/>
        </w:tabs>
        <w:rPr>
          <w:rFonts w:ascii="PT Astra Serif" w:hAnsi="PT Astra Serif" w:cs="PT Astra Serif"/>
          <w:b/>
          <w:bCs/>
          <w:sz w:val="28"/>
          <w:szCs w:val="28"/>
        </w:rPr>
      </w:pPr>
      <w:r>
        <w:rPr>
          <w:rFonts w:ascii="PT Astra Serif" w:hAnsi="PT Astra Serif" w:eastAsia="PT Astra Serif" w:cs="PT Astra Serif"/>
          <w:sz w:val="28"/>
          <w:szCs w:val="28"/>
        </w:rPr>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2404450" cy="1480407"/>
                <wp:effectExtent l="6350" t="6350" r="6350" b="6350"/>
                <wp:docPr id="4" name="_x0000_i1032"/>
                <wp:cNvGraphicFramePr/>
                <a:graphic xmlns:a="http://schemas.openxmlformats.org/drawingml/2006/main">
                  <a:graphicData uri="http://schemas.openxmlformats.org/drawingml/2006/picture">
                    <pic:pic xmlns:pic="http://schemas.openxmlformats.org/drawingml/2006/picture">
                      <pic:nvPicPr>
                        <pic:cNvPr id="1407904887" name=""/>
                        <pic:cNvPicPr/>
                        <pic:nvPr/>
                      </pic:nvPicPr>
                      <pic:blipFill>
                        <a:blip r:embed="rId12"/>
                        <a:stretch/>
                      </pic:blipFill>
                      <pic:spPr bwMode="auto">
                        <a:xfrm flipH="0" flipV="0">
                          <a:off x="0" y="0"/>
                          <a:ext cx="2404449" cy="148040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89.33pt;height:116.57pt;mso-wrap-distance-left:0.00pt;mso-wrap-distance-top:0.00pt;mso-wrap-distance-right:0.00pt;mso-wrap-distance-bottom:0.00pt;" stroked="f">
                <v:path textboxrect="0,0,0,0"/>
                <v:imagedata r:id="rId12" o:title=""/>
              </v:shape>
            </w:pict>
          </mc:Fallback>
        </mc:AlternateContent>
      </w:r>
      <w:r>
        <w:rPr>
          <w:rFonts w:ascii="PT Astra Serif" w:hAnsi="PT Astra Serif" w:eastAsia="PT Astra Serif" w:cs="PT Astra Serif"/>
          <w:sz w:val="28"/>
          <w:szCs w:val="28"/>
        </w:rPr>
        <w:t xml:space="preserve">  </w:t>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2212978" cy="1451832"/>
                <wp:effectExtent l="6350" t="6350" r="6350" b="6350"/>
                <wp:docPr id="5"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flipH="0" flipV="0">
                          <a:off x="0" y="0"/>
                          <a:ext cx="2212977" cy="145183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74.25pt;height:114.32pt;mso-wrap-distance-left:0.00pt;mso-wrap-distance-top:0.00pt;mso-wrap-distance-right:0.00pt;mso-wrap-distance-bottom:0.00pt;" stroked="f">
                <v:path textboxrect="0,0,0,0"/>
                <v:imagedata r:id="rId13" o:title=""/>
              </v:shape>
            </w:pict>
          </mc:Fallback>
        </mc:AlternateContent>
      </w:r>
      <w:r>
        <w:rPr>
          <w:rFonts w:ascii="PT Astra Serif" w:hAnsi="PT Astra Serif" w:cs="PT Astra Serif"/>
          <w:b/>
          <w:bCs/>
          <w:sz w:val="28"/>
          <w:szCs w:val="28"/>
        </w:rPr>
      </w:r>
      <w:r>
        <w:rPr>
          <w:rFonts w:ascii="PT Astra Serif" w:hAnsi="PT Astra Serif" w:cs="PT Astra Serif"/>
          <w:b/>
          <w:bCs/>
          <w:sz w:val="28"/>
          <w:szCs w:val="28"/>
        </w:rPr>
      </w:r>
    </w:p>
    <w:p>
      <w:pPr>
        <w:pStyle w:val="871"/>
        <w:ind w:firstLine="426"/>
        <w:rPr>
          <w:rFonts w:ascii="PT Astra Serif" w:hAnsi="PT Astra Serif" w:cs="PT Astra Serif"/>
          <w:b/>
          <w:color w:val="000000"/>
        </w:rPr>
      </w:pPr>
      <w:r>
        <w:rPr>
          <w:rFonts w:ascii="PT Astra Serif" w:hAnsi="PT Astra Serif" w:eastAsia="PT Astra Serif" w:cs="PT Astra Serif"/>
          <w:b/>
          <w:color w:val="000000"/>
          <w:sz w:val="28"/>
          <w:szCs w:val="28"/>
        </w:rPr>
      </w:r>
      <w:r>
        <w:rPr>
          <w:rFonts w:ascii="PT Astra Serif" w:hAnsi="PT Astra Serif" w:eastAsia="PT Astra Serif" w:cs="PT Astra Serif"/>
          <w:b/>
          <w:color w:val="000000"/>
          <w:sz w:val="28"/>
          <w:szCs w:val="28"/>
        </w:rPr>
        <mc:AlternateContent>
          <mc:Choice Requires="wpg">
            <w:drawing>
              <wp:inline xmlns:wp="http://schemas.openxmlformats.org/drawingml/2006/wordprocessingDrawing" distT="0" distB="0" distL="0" distR="0">
                <wp:extent cx="2785447" cy="1375358"/>
                <wp:effectExtent l="6350" t="6350" r="6350" b="6350"/>
                <wp:docPr id="6" name="_x0000_i1034"/>
                <wp:cNvGraphicFramePr/>
                <a:graphic xmlns:a="http://schemas.openxmlformats.org/drawingml/2006/main">
                  <a:graphicData uri="http://schemas.openxmlformats.org/drawingml/2006/picture">
                    <pic:pic xmlns:pic="http://schemas.openxmlformats.org/drawingml/2006/picture">
                      <pic:nvPicPr>
                        <pic:cNvPr id="994633645" name=""/>
                        <pic:cNvPicPr/>
                        <pic:nvPr/>
                      </pic:nvPicPr>
                      <pic:blipFill>
                        <a:blip r:embed="rId14"/>
                        <a:stretch/>
                      </pic:blipFill>
                      <pic:spPr bwMode="auto">
                        <a:xfrm flipH="0" flipV="0">
                          <a:off x="0" y="0"/>
                          <a:ext cx="2785446" cy="137535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19.33pt;height:108.30pt;mso-wrap-distance-left:0.00pt;mso-wrap-distance-top:0.00pt;mso-wrap-distance-right:0.00pt;mso-wrap-distance-bottom:0.00pt;" stroked="f">
                <v:path textboxrect="0,0,0,0"/>
                <v:imagedata r:id="rId14" o:title=""/>
              </v:shape>
            </w:pict>
          </mc:Fallback>
        </mc:AlternateContent>
      </w:r>
      <w:r>
        <w:rPr>
          <w:rFonts w:ascii="PT Astra Serif" w:hAnsi="PT Astra Serif" w:eastAsia="PT Astra Serif" w:cs="PT Astra Serif"/>
          <w:b/>
          <w:color w:val="000000"/>
        </w:rPr>
        <w:t xml:space="preserve"> </w:t>
      </w:r>
      <w:r>
        <w:rPr>
          <w:rFonts w:ascii="PT Astra Serif" w:hAnsi="PT Astra Serif" w:eastAsia="PT Astra Serif" w:cs="PT Astra Serif"/>
          <w:b/>
          <w:color w:val="000000"/>
        </w:rPr>
        <mc:AlternateContent>
          <mc:Choice Requires="wpg">
            <w:drawing>
              <wp:inline xmlns:wp="http://schemas.openxmlformats.org/drawingml/2006/wordprocessingDrawing" distT="0" distB="0" distL="0" distR="0">
                <wp:extent cx="2747942" cy="1327733"/>
                <wp:effectExtent l="6350" t="6350" r="6350" b="6350"/>
                <wp:docPr id="7"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flipH="0" flipV="0">
                          <a:off x="0" y="0"/>
                          <a:ext cx="2747940" cy="13277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16.37pt;height:104.55pt;mso-wrap-distance-left:0.00pt;mso-wrap-distance-top:0.00pt;mso-wrap-distance-right:0.00pt;mso-wrap-distance-bottom:0.00pt;" stroked="f">
                <v:path textboxrect="0,0,0,0"/>
                <v:imagedata r:id="rId15" o:title=""/>
              </v:shape>
            </w:pict>
          </mc:Fallback>
        </mc:AlternateContent>
      </w:r>
      <w:r>
        <w:rPr>
          <w:rFonts w:ascii="PT Astra Serif" w:hAnsi="PT Astra Serif" w:cs="PT Astra Serif"/>
          <w:b/>
          <w:color w:val="000000"/>
        </w:rPr>
      </w:r>
      <w:r>
        <w:rPr>
          <w:rFonts w:ascii="PT Astra Serif" w:hAnsi="PT Astra Serif" w:cs="PT Astra Serif"/>
          <w:b/>
          <w:color w:val="000000"/>
        </w:rPr>
      </w:r>
    </w:p>
    <w:p>
      <w:pPr>
        <w:pStyle w:val="871"/>
        <w:jc w:val="both"/>
        <w:tabs>
          <w:tab w:val="left" w:pos="0" w:leader="none"/>
        </w:tabs>
        <w:rPr>
          <w:rFonts w:ascii="PT Astra Serif" w:hAnsi="PT Astra Serif" w:cs="PT Astra Serif"/>
          <w:sz w:val="28"/>
          <w:szCs w:val="28"/>
        </w:rPr>
      </w:pPr>
      <w:r>
        <w:rPr>
          <w:rFonts w:ascii="PT Astra Serif" w:hAnsi="PT Astra Serif" w:eastAsia="PT Astra Serif" w:cs="PT Astra Serif"/>
          <w:color w:val="000000"/>
          <w:sz w:val="28"/>
          <w:szCs w:val="28"/>
        </w:rPr>
        <w:t xml:space="preserve">  </w:t>
      </w:r>
      <w:r>
        <w:rPr>
          <w:rFonts w:ascii="PT Astra Serif" w:hAnsi="PT Astra Serif" w:cs="PT Astra Serif"/>
          <w:sz w:val="28"/>
          <w:szCs w:val="28"/>
        </w:rPr>
      </w:r>
      <w:r>
        <w:rPr>
          <w:rFonts w:ascii="PT Astra Serif" w:hAnsi="PT Astra Serif" w:cs="PT Astra Serif"/>
          <w:sz w:val="28"/>
          <w:szCs w:val="28"/>
        </w:rPr>
      </w:r>
    </w:p>
    <w:p>
      <w:pPr>
        <w:pStyle w:val="884"/>
        <w:numPr>
          <w:ilvl w:val="0"/>
          <w:numId w:val="16"/>
        </w:numPr>
        <w:ind w:left="0" w:firstLine="709"/>
        <w:jc w:val="both"/>
        <w:tabs>
          <w:tab w:val="left" w:pos="0" w:leader="none"/>
          <w:tab w:val="left" w:pos="1134" w:leader="none"/>
        </w:tabs>
        <w:rPr>
          <w:rFonts w:ascii="PT Astra Serif" w:hAnsi="PT Astra Serif" w:cs="PT Astra Serif"/>
          <w:color w:val="000000"/>
          <w:sz w:val="24"/>
          <w:szCs w:val="24"/>
        </w:rPr>
      </w:pPr>
      <w:r>
        <w:rPr>
          <w:rFonts w:ascii="PT Astra Serif" w:hAnsi="PT Astra Serif" w:eastAsia="PT Astra Serif" w:cs="PT Astra Serif"/>
          <w:b/>
          <w:bCs/>
          <w:color w:val="000000"/>
          <w:sz w:val="24"/>
          <w:szCs w:val="24"/>
        </w:rPr>
      </w:r>
      <w:r>
        <w:rPr>
          <w:rFonts w:ascii="PT Astra Serif" w:hAnsi="PT Astra Serif" w:eastAsia="PT Astra Serif" w:cs="PT Astra Serif"/>
          <w:b/>
          <w:bCs/>
          <w:color w:val="000000"/>
          <w:sz w:val="24"/>
          <w:szCs w:val="24"/>
        </w:rPr>
        <w:t xml:space="preserve">Шаг повышения цены</w:t>
      </w:r>
      <w:r>
        <w:rPr>
          <w:rFonts w:ascii="PT Astra Serif" w:hAnsi="PT Astra Serif" w:eastAsia="PT Astra Serif" w:cs="PT Astra Serif"/>
          <w:b/>
          <w:bCs/>
          <w:color w:val="000000"/>
          <w:sz w:val="24"/>
          <w:szCs w:val="24"/>
        </w:rPr>
        <w:t xml:space="preserve"> по каждому лоту</w:t>
      </w:r>
      <w:r>
        <w:rPr>
          <w:rFonts w:ascii="PT Astra Serif" w:hAnsi="PT Astra Serif" w:eastAsia="PT Astra Serif" w:cs="PT Astra Serif"/>
          <w:b/>
          <w:bCs/>
          <w:color w:val="000000"/>
          <w:sz w:val="24"/>
          <w:szCs w:val="24"/>
        </w:rPr>
        <w:t xml:space="preserve">:</w:t>
      </w:r>
      <w:r>
        <w:rPr>
          <w:rFonts w:ascii="PT Astra Serif" w:hAnsi="PT Astra Serif" w:eastAsia="PT Astra Serif" w:cs="PT Astra Serif"/>
          <w:color w:val="000000"/>
          <w:sz w:val="24"/>
          <w:szCs w:val="24"/>
        </w:rPr>
        <w:t xml:space="preserve"> </w:t>
      </w:r>
      <w:r>
        <w:rPr>
          <w:rFonts w:ascii="PT Astra Serif" w:hAnsi="PT Astra Serif" w:eastAsia="PT Astra Serif" w:cs="PT Astra Serif"/>
          <w:bCs/>
          <w:color w:val="000000"/>
          <w:sz w:val="24"/>
          <w:szCs w:val="24"/>
        </w:rPr>
        <w:t xml:space="preserve">1% от начальной цены соответствующего лота.</w:t>
      </w:r>
      <w:r>
        <w:rPr>
          <w:rFonts w:ascii="PT Astra Serif" w:hAnsi="PT Astra Serif" w:eastAsia="PT Astra Serif" w:cs="PT Astra Serif"/>
          <w:color w:val="000000"/>
          <w:sz w:val="24"/>
          <w:szCs w:val="24"/>
        </w:rPr>
        <w:t xml:space="preserve"> Ш</w:t>
      </w:r>
      <w:r>
        <w:rPr>
          <w:rFonts w:ascii="PT Astra Serif" w:hAnsi="PT Astra Serif" w:eastAsia="PT Astra Serif" w:cs="PT Astra Serif"/>
          <w:bCs/>
          <w:color w:val="000000"/>
          <w:sz w:val="24"/>
          <w:szCs w:val="24"/>
        </w:rPr>
        <w:t xml:space="preserve">аг повышения цены с учетом НДС.</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84"/>
        <w:numPr>
          <w:ilvl w:val="0"/>
          <w:numId w:val="16"/>
        </w:numPr>
        <w:ind w:left="0" w:firstLine="709"/>
        <w:jc w:val="both"/>
        <w:tabs>
          <w:tab w:val="left" w:pos="0" w:leader="none"/>
          <w:tab w:val="left" w:pos="1134" w:leader="none"/>
        </w:tabs>
        <w:rPr>
          <w:rFonts w:ascii="PT Astra Serif" w:hAnsi="PT Astra Serif" w:cs="PT Astra Serif"/>
          <w:color w:val="000000"/>
          <w:sz w:val="24"/>
          <w:szCs w:val="24"/>
        </w:rPr>
      </w:pPr>
      <w:r>
        <w:rPr>
          <w:rFonts w:ascii="PT Astra Serif" w:hAnsi="PT Astra Serif" w:eastAsia="PT Astra Serif" w:cs="PT Astra Serif"/>
          <w:bCs/>
          <w:color w:val="000000"/>
          <w:sz w:val="24"/>
          <w:szCs w:val="24"/>
        </w:rPr>
      </w:r>
      <w:r>
        <w:rPr>
          <w:rFonts w:ascii="PT Astra Serif" w:hAnsi="PT Astra Serif" w:eastAsia="PT Astra Serif" w:cs="PT Astra Serif"/>
          <w:b/>
          <w:bCs/>
          <w:color w:val="000000"/>
          <w:sz w:val="24"/>
          <w:szCs w:val="24"/>
        </w:rPr>
        <w:t xml:space="preserve">Время ожидания ценовых предложений</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color w:val="000000"/>
          <w:sz w:val="24"/>
          <w:szCs w:val="24"/>
        </w:rPr>
        <w:t xml:space="preserve">10</w:t>
      </w:r>
      <w:r>
        <w:rPr>
          <w:rFonts w:ascii="PT Astra Serif" w:hAnsi="PT Astra Serif" w:eastAsia="PT Astra Serif" w:cs="PT Astra Serif"/>
          <w:color w:val="000000"/>
          <w:sz w:val="24"/>
          <w:szCs w:val="24"/>
        </w:rPr>
        <w:t xml:space="preserve"> (десять) минут на подтверждение начальной цены, далее время ожидания ценовых предложений после ставки составляет 10 (Десять) минут.</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numPr>
          <w:ilvl w:val="0"/>
          <w:numId w:val="16"/>
        </w:numPr>
        <w:ind w:left="0" w:firstLine="709"/>
        <w:jc w:val="both"/>
        <w:tabs>
          <w:tab w:val="left" w:pos="0" w:leader="none"/>
          <w:tab w:val="left" w:pos="1134" w:leader="none"/>
        </w:tabs>
        <w:rPr>
          <w:rFonts w:ascii="PT Astra Serif" w:hAnsi="PT Astra Serif" w:cs="PT Astra Serif"/>
          <w:sz w:val="24"/>
          <w:szCs w:val="24"/>
        </w:rPr>
      </w:pPr>
      <w:r>
        <w:rPr>
          <w:rFonts w:ascii="PT Astra Serif" w:hAnsi="PT Astra Serif" w:eastAsia="PT Astra Serif" w:cs="PT Astra Serif"/>
          <w:sz w:val="24"/>
          <w:szCs w:val="24"/>
        </w:rPr>
      </w:r>
      <w:r>
        <w:rPr>
          <w:rFonts w:ascii="PT Astra Serif" w:hAnsi="PT Astra Serif" w:eastAsia="PT Astra Serif" w:cs="PT Astra Serif"/>
          <w:b/>
          <w:bCs/>
          <w:color w:val="000000"/>
          <w:sz w:val="24"/>
          <w:szCs w:val="24"/>
        </w:rPr>
        <w:t xml:space="preserve">Форма заявки: </w:t>
      </w:r>
      <w:r>
        <w:rPr>
          <w:rFonts w:ascii="PT Astra Serif" w:hAnsi="PT Astra Serif" w:eastAsia="PT Astra Serif" w:cs="PT Astra Serif"/>
          <w:color w:val="000000"/>
          <w:sz w:val="24"/>
          <w:szCs w:val="24"/>
        </w:rPr>
        <w:t xml:space="preserve">в соответствии с документацией об аукционе в электронной форме и регламентом ЭТП. </w:t>
      </w:r>
      <w:r>
        <w:rPr>
          <w:rFonts w:ascii="PT Astra Serif" w:hAnsi="PT Astra Serif" w:cs="PT Astra Serif"/>
          <w:sz w:val="24"/>
          <w:szCs w:val="24"/>
        </w:rPr>
      </w:r>
      <w:r>
        <w:rPr>
          <w:rFonts w:ascii="PT Astra Serif" w:hAnsi="PT Astra Serif" w:cs="PT Astra Serif"/>
          <w:sz w:val="24"/>
          <w:szCs w:val="24"/>
        </w:rPr>
      </w:r>
    </w:p>
    <w:p>
      <w:pPr>
        <w:pStyle w:val="878"/>
        <w:numPr>
          <w:ilvl w:val="0"/>
          <w:numId w:val="16"/>
        </w:numPr>
        <w:ind w:left="0" w:firstLine="709"/>
        <w:jc w:val="both"/>
        <w:tabs>
          <w:tab w:val="left" w:pos="0" w:leader="none"/>
          <w:tab w:val="left" w:pos="1134" w:leader="none"/>
        </w:tabs>
        <w:rPr>
          <w:rFonts w:ascii="PT Astra Serif" w:hAnsi="PT Astra Serif" w:cs="PT Astra Serif"/>
          <w:bCs/>
          <w:sz w:val="24"/>
          <w:szCs w:val="24"/>
        </w:rPr>
      </w:pPr>
      <w:r>
        <w:rPr>
          <w:rFonts w:ascii="PT Astra Serif" w:hAnsi="PT Astra Serif" w:eastAsia="PT Astra Serif" w:cs="PT Astra Serif"/>
          <w:b/>
          <w:bCs/>
          <w:color w:val="000000"/>
          <w:sz w:val="24"/>
          <w:szCs w:val="24"/>
        </w:rPr>
        <w:t xml:space="preserve">Порядок подачи заявок: </w:t>
      </w:r>
      <w:r>
        <w:rPr>
          <w:rFonts w:ascii="PT Astra Serif" w:hAnsi="PT Astra Serif" w:eastAsia="PT Astra Serif" w:cs="PT Astra Serif"/>
          <w:color w:val="000000"/>
          <w:sz w:val="24"/>
          <w:szCs w:val="24"/>
        </w:rPr>
        <w:t xml:space="preserve">в соответствии с документацией об аукционе в электронной форме и регламентом ЭТП. </w:t>
      </w:r>
      <w:r>
        <w:rPr>
          <w:rFonts w:ascii="PT Astra Serif" w:hAnsi="PT Astra Serif" w:cs="PT Astra Serif"/>
          <w:bCs/>
          <w:sz w:val="24"/>
          <w:szCs w:val="24"/>
        </w:rPr>
      </w:r>
      <w:r>
        <w:rPr>
          <w:rFonts w:ascii="PT Astra Serif" w:hAnsi="PT Astra Serif" w:cs="PT Astra Serif"/>
          <w:bCs/>
          <w:sz w:val="24"/>
          <w:szCs w:val="24"/>
        </w:rPr>
      </w:r>
    </w:p>
    <w:p>
      <w:pPr>
        <w:pStyle w:val="878"/>
        <w:numPr>
          <w:ilvl w:val="0"/>
          <w:numId w:val="16"/>
        </w:numPr>
        <w:ind w:left="0" w:firstLine="709"/>
        <w:jc w:val="both"/>
        <w:tabs>
          <w:tab w:val="left" w:pos="0" w:leader="none"/>
          <w:tab w:val="left" w:pos="1134" w:leader="none"/>
        </w:tabs>
        <w:rPr>
          <w:rFonts w:ascii="PT Astra Serif" w:hAnsi="PT Astra Serif" w:cs="PT Astra Serif"/>
          <w:b/>
          <w:bCs/>
          <w:sz w:val="24"/>
          <w:szCs w:val="24"/>
        </w:rPr>
      </w:pPr>
      <w:r>
        <w:rPr>
          <w:rFonts w:ascii="PT Astra Serif" w:hAnsi="PT Astra Serif" w:eastAsia="PT Astra Serif" w:cs="PT Astra Serif"/>
          <w:bCs/>
          <w:sz w:val="24"/>
          <w:szCs w:val="24"/>
        </w:rPr>
      </w:r>
      <w:r>
        <w:rPr>
          <w:rFonts w:ascii="PT Astra Serif" w:hAnsi="PT Astra Serif" w:eastAsia="PT Astra Serif" w:cs="PT Astra Serif"/>
          <w:b/>
          <w:bCs/>
          <w:sz w:val="24"/>
          <w:szCs w:val="24"/>
        </w:rPr>
        <w:t xml:space="preserve">Р</w:t>
      </w:r>
      <w:r>
        <w:rPr>
          <w:rFonts w:ascii="PT Astra Serif" w:hAnsi="PT Astra Serif" w:eastAsia="PT Astra Serif" w:cs="PT Astra Serif"/>
          <w:b/>
          <w:bCs/>
          <w:color w:val="000000"/>
          <w:sz w:val="24"/>
          <w:szCs w:val="24"/>
        </w:rPr>
        <w:t xml:space="preserve">азмер обеспечения заявки для участия в торгах (задаток) в электронной форме составляет: 10% (десять процентов) от начальной цены </w:t>
      </w:r>
      <w:r>
        <w:rPr>
          <w:rFonts w:ascii="PT Astra Serif" w:hAnsi="PT Astra Serif" w:eastAsia="PT Astra Serif" w:cs="PT Astra Serif"/>
          <w:b/>
          <w:bCs/>
          <w:color w:val="000000"/>
          <w:sz w:val="24"/>
          <w:szCs w:val="24"/>
        </w:rPr>
        <w:t xml:space="preserve">каждого </w:t>
      </w:r>
      <w:r>
        <w:rPr>
          <w:rFonts w:ascii="PT Astra Serif" w:hAnsi="PT Astra Serif" w:eastAsia="PT Astra Serif" w:cs="PT Astra Serif"/>
          <w:b/>
          <w:bCs/>
          <w:color w:val="000000"/>
          <w:sz w:val="24"/>
          <w:szCs w:val="24"/>
        </w:rPr>
        <w:t xml:space="preserve">лота</w:t>
      </w:r>
      <w:r>
        <w:rPr>
          <w:rFonts w:ascii="PT Astra Serif" w:hAnsi="PT Astra Serif" w:eastAsia="PT Astra Serif" w:cs="PT Astra Serif"/>
          <w:bCs/>
          <w:color w:val="000000"/>
          <w:sz w:val="24"/>
          <w:szCs w:val="24"/>
        </w:rPr>
        <w:t xml:space="preserve">,</w:t>
      </w:r>
      <w:r>
        <w:rPr>
          <w:rFonts w:ascii="PT Astra Serif" w:hAnsi="PT Astra Serif" w:eastAsia="PT Astra Serif" w:cs="PT Astra Serif"/>
          <w:b/>
          <w:bCs/>
          <w:color w:val="000000"/>
          <w:sz w:val="24"/>
          <w:szCs w:val="24"/>
        </w:rPr>
        <w:t xml:space="preserve"> НДС не облагается.</w:t>
      </w:r>
      <w:r>
        <w:rPr>
          <w:rFonts w:ascii="PT Astra Serif" w:hAnsi="PT Astra Serif" w:cs="PT Astra Serif"/>
          <w:b/>
          <w:bCs/>
          <w:sz w:val="24"/>
          <w:szCs w:val="24"/>
        </w:rPr>
      </w:r>
      <w:r>
        <w:rPr>
          <w:rFonts w:ascii="PT Astra Serif" w:hAnsi="PT Astra Serif" w:cs="PT Astra Serif"/>
          <w:b/>
          <w:bCs/>
          <w:sz w:val="24"/>
          <w:szCs w:val="24"/>
        </w:rPr>
      </w:r>
    </w:p>
    <w:p>
      <w:pPr>
        <w:pStyle w:val="884"/>
        <w:jc w:val="both"/>
        <w:rPr>
          <w:rFonts w:ascii="PT Astra Serif" w:hAnsi="PT Astra Serif" w:cs="PT Astra Serif"/>
          <w:sz w:val="24"/>
          <w:szCs w:val="24"/>
        </w:rPr>
      </w:pPr>
      <w:r>
        <w:rPr>
          <w:rFonts w:ascii="PT Astra Serif" w:hAnsi="PT Astra Serif" w:eastAsia="PT Astra Serif" w:cs="PT Astra Serif"/>
          <w:b/>
          <w:bCs/>
          <w:sz w:val="24"/>
          <w:szCs w:val="24"/>
        </w:rPr>
        <w:t xml:space="preserve">           15. </w:t>
      </w:r>
      <w:r>
        <w:rPr>
          <w:rFonts w:ascii="PT Astra Serif" w:hAnsi="PT Astra Serif" w:eastAsia="PT Astra Serif" w:cs="PT Astra Serif"/>
          <w:bCs/>
          <w:sz w:val="24"/>
          <w:szCs w:val="24"/>
        </w:rPr>
        <w:t xml:space="preserve">Порядок внесения задатка и возврата: в соответствии с документацией об аукционе в электронной форме и регламентом ЭТП ГПБ https://etp.gpb.ru/.</w:t>
      </w:r>
      <w:r>
        <w:rPr>
          <w:rFonts w:ascii="PT Astra Serif" w:hAnsi="PT Astra Serif" w:cs="PT Astra Serif"/>
          <w:sz w:val="24"/>
          <w:szCs w:val="24"/>
        </w:rPr>
      </w:r>
      <w:r>
        <w:rPr>
          <w:rFonts w:ascii="PT Astra Serif" w:hAnsi="PT Astra Serif" w:cs="PT Astra Serif"/>
          <w:sz w:val="24"/>
          <w:szCs w:val="24"/>
        </w:rPr>
      </w:r>
    </w:p>
    <w:p>
      <w:pPr>
        <w:pStyle w:val="871"/>
        <w:ind w:firstLine="708"/>
        <w:jc w:val="both"/>
        <w:rPr>
          <w:rFonts w:ascii="PT Astra Serif" w:hAnsi="PT Astra Serif" w:cs="PT Astra Serif"/>
          <w:sz w:val="24"/>
          <w:szCs w:val="24"/>
        </w:rPr>
      </w:pPr>
      <w:r>
        <w:rPr>
          <w:rFonts w:ascii="PT Astra Serif" w:hAnsi="PT Astra Serif" w:eastAsia="PT Astra Serif" w:cs="PT Astra Serif"/>
          <w:b/>
          <w:bCs/>
          <w:color w:val="000000"/>
          <w:sz w:val="24"/>
          <w:szCs w:val="24"/>
        </w:rPr>
        <w:t xml:space="preserve">16</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color w:val="000000"/>
          <w:sz w:val="24"/>
          <w:szCs w:val="24"/>
        </w:rPr>
        <w:t xml:space="preserve">Осмотр имущества</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sz w:val="24"/>
          <w:szCs w:val="24"/>
        </w:rPr>
        <w:t xml:space="preserve">проводится по предварительной записи у Организатора продажи. Заявки на осмотр принимаются с даты начала приема заявок. </w:t>
      </w:r>
      <w:r>
        <w:rPr>
          <w:rFonts w:ascii="PT Astra Serif" w:hAnsi="PT Astra Serif" w:cs="PT Astra Serif"/>
          <w:sz w:val="24"/>
          <w:szCs w:val="24"/>
        </w:rPr>
      </w:r>
      <w:r>
        <w:rPr>
          <w:rFonts w:ascii="PT Astra Serif" w:hAnsi="PT Astra Serif" w:cs="PT Astra Serif"/>
          <w:sz w:val="24"/>
          <w:szCs w:val="24"/>
        </w:rPr>
      </w:r>
    </w:p>
    <w:p>
      <w:pPr>
        <w:pStyle w:val="871"/>
        <w:ind w:firstLine="708"/>
        <w:jc w:val="both"/>
        <w:rPr>
          <w:rFonts w:ascii="PT Astra Serif" w:hAnsi="PT Astra Serif" w:cs="PT Astra Serif"/>
          <w:sz w:val="24"/>
          <w:szCs w:val="24"/>
        </w:rPr>
      </w:pPr>
      <w:r>
        <w:rPr>
          <w:rFonts w:ascii="PT Astra Serif" w:hAnsi="PT Astra Serif" w:eastAsia="PT Astra Serif" w:cs="PT Astra Serif"/>
          <w:sz w:val="24"/>
          <w:szCs w:val="24"/>
        </w:rPr>
        <w:t xml:space="preserve">Подача заявки на участие в аукционе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r>
        <w:rPr>
          <w:rFonts w:ascii="PT Astra Serif" w:hAnsi="PT Astra Serif" w:eastAsia="PT Astra Serif" w:cs="PT Astra Serif"/>
          <w:sz w:val="24"/>
          <w:szCs w:val="24"/>
        </w:rPr>
        <w:t xml:space="preserve">.</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rPr>
      </w:r>
      <w:r>
        <w:rPr>
          <w:rFonts w:ascii="PT Astra Serif" w:hAnsi="PT Astra Serif" w:cs="PT Astra Serif"/>
          <w:sz w:val="24"/>
          <w:szCs w:val="24"/>
        </w:rPr>
      </w:r>
      <w:r>
        <w:rPr>
          <w:rFonts w:ascii="PT Astra Serif" w:hAnsi="PT Astra Serif" w:cs="PT Astra Serif"/>
          <w:sz w:val="24"/>
          <w:szCs w:val="24"/>
        </w:rPr>
      </w:r>
    </w:p>
    <w:p>
      <w:pPr>
        <w:pStyle w:val="871"/>
        <w:contextualSpacing/>
        <w:jc w:val="center"/>
        <w:spacing w:after="72"/>
        <w:rPr>
          <w:rFonts w:ascii="PT Astra Serif" w:hAnsi="PT Astra Serif" w:cs="PT Astra Serif"/>
          <w:color w:val="000000"/>
          <w:sz w:val="24"/>
          <w:szCs w:val="24"/>
        </w:rPr>
      </w:pPr>
      <w:r>
        <w:rPr>
          <w:rFonts w:ascii="PT Astra Serif" w:hAnsi="PT Astra Serif" w:eastAsia="PT Astra Serif" w:cs="PT Astra Serif"/>
          <w:b/>
          <w:bCs/>
          <w:color w:val="000000"/>
          <w:sz w:val="24"/>
          <w:szCs w:val="24"/>
        </w:rPr>
        <w:t xml:space="preserve">ЭТАПЫ ПРОВЕДЕНИЯ АУКЦИОНА (ТОРГОВ)</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center"/>
        <w:tabs>
          <w:tab w:val="left" w:pos="-720" w:leader="none"/>
          <w:tab w:val="left" w:pos="720" w:leader="none"/>
          <w:tab w:val="left" w:pos="900" w:leader="none"/>
        </w:tabs>
        <w:rPr>
          <w:rFonts w:ascii="PT Astra Serif" w:hAnsi="PT Astra Serif" w:cs="PT Astra Serif"/>
          <w:b/>
          <w:bCs/>
          <w:sz w:val="28"/>
          <w:szCs w:val="28"/>
        </w:rPr>
      </w:pPr>
      <w:r>
        <w:rPr>
          <w:rFonts w:ascii="PT Astra Serif" w:hAnsi="PT Astra Serif" w:eastAsia="PT Astra Serif" w:cs="PT Astra Serif"/>
          <w:b/>
          <w:bCs/>
          <w:sz w:val="28"/>
          <w:szCs w:val="28"/>
        </w:rPr>
      </w:r>
      <w:r>
        <w:rPr>
          <w:rFonts w:ascii="PT Astra Serif" w:hAnsi="PT Astra Serif" w:cs="PT Astra Serif"/>
          <w:b/>
          <w:bCs/>
          <w:sz w:val="28"/>
          <w:szCs w:val="28"/>
        </w:rPr>
      </w:r>
      <w:r>
        <w:rPr>
          <w:rFonts w:ascii="PT Astra Serif" w:hAnsi="PT Astra Serif" w:cs="PT Astra Serif"/>
          <w:b/>
          <w:bCs/>
          <w:sz w:val="28"/>
          <w:szCs w:val="28"/>
        </w:rPr>
      </w:r>
    </w:p>
    <w:p>
      <w:pPr>
        <w:pStyle w:val="871"/>
        <w:contextualSpacing/>
        <w:ind w:firstLine="709"/>
        <w:jc w:val="both"/>
        <w:tabs>
          <w:tab w:val="left" w:pos="1134" w:leader="none"/>
        </w:tabs>
        <w:rPr>
          <w:rFonts w:ascii="PT Astra Serif" w:hAnsi="PT Astra Serif" w:cs="PT Astra Serif"/>
          <w:b/>
          <w:bCs/>
          <w:sz w:val="24"/>
          <w:szCs w:val="24"/>
          <w:highlight w:val="none"/>
        </w:rPr>
      </w:pPr>
      <w:r>
        <w:rPr>
          <w:rFonts w:ascii="PT Astra Serif" w:hAnsi="PT Astra Serif" w:eastAsia="PT Astra Serif" w:cs="PT Astra Serif"/>
          <w:b/>
          <w:sz w:val="24"/>
          <w:szCs w:val="24"/>
          <w:lang w:val="en-US"/>
        </w:rPr>
        <w:t xml:space="preserve">Подача заявки на участие в аукционе</w:t>
      </w:r>
      <w:r>
        <w:rPr>
          <w:rFonts w:ascii="PT Astra Serif" w:hAnsi="PT Astra Serif" w:cs="PT Astra Serif"/>
          <w:b/>
          <w:bCs/>
          <w:sz w:val="24"/>
          <w:szCs w:val="24"/>
          <w:highlight w:val="none"/>
        </w:rPr>
      </w:r>
      <w:r>
        <w:rPr>
          <w:rFonts w:ascii="PT Astra Serif" w:hAnsi="PT Astra Serif" w:cs="PT Astra Serif"/>
          <w:b/>
          <w:bCs/>
          <w:sz w:val="24"/>
          <w:szCs w:val="24"/>
          <w:highlight w:val="none"/>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ЭТП обеспечивает для Участников торгов функционал подачи заявок на участие в аукционе.</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Формирование и направление заявки на участие в процедуре производится Участником торгов в соответствии с Руководством пользователя ЭТП, которое размещается в открытой части ЭТП.</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Срок представления (приема) заявок на участие в процедуре определяется Заказчиком в соответствии с данным извещением и документацией к процедуре.</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Участник торгов вправе подать заявку на участие в процедуре реализации имущества в любой момент, начиная с момента размещения на са</w:t>
      </w:r>
      <w:r>
        <w:rPr>
          <w:rFonts w:ascii="PT Astra Serif" w:hAnsi="PT Astra Serif" w:eastAsia="PT Astra Serif" w:cs="PT Astra Serif"/>
          <w:color w:val="000000"/>
          <w:sz w:val="24"/>
          <w:szCs w:val="24"/>
        </w:rPr>
        <w:t xml:space="preserve">йте площадки извещения о проведении процедуры, и до предусмотренных извещением и документацией о процедуре даты и времени окончания срока подачи заявок. Заявки направляются Участником торгов на ЭТП в форме электронных  документов, подписанных с помощью ЭП.</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По факту поступления на ЭТП заявки на участие в процедуре, ЭТП осуществляет блокировку денежных средств на лицевом счете Участника торгов в размере суммы обеспечения заявки на участие в процедуре.</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Участник торгов вправе отозвать заявку на участие в процедуре не позднее окончания срока подачи заявок в соответствии с Руководством пользователя ЭТП, которое размещается в открытой части ЭТП.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highlight w:val="none"/>
        </w:rPr>
      </w:pPr>
      <w:r>
        <w:rPr>
          <w:rFonts w:ascii="PT Astra Serif" w:hAnsi="PT Astra Serif" w:eastAsia="PT Astra Serif" w:cs="PT Astra Serif"/>
          <w:color w:val="000000"/>
          <w:sz w:val="24"/>
          <w:szCs w:val="24"/>
        </w:rPr>
        <w:t xml:space="preserve">Подача заявител</w:t>
      </w:r>
      <w:r>
        <w:rPr>
          <w:rFonts w:ascii="PT Astra Serif" w:hAnsi="PT Astra Serif" w:eastAsia="PT Astra Serif" w:cs="PT Astra Serif"/>
          <w:color w:val="000000"/>
          <w:sz w:val="24"/>
          <w:szCs w:val="24"/>
        </w:rPr>
        <w:t xml:space="preserve">ем заявки на участие в процедуре является согласием заявителя на списание денежных средств, находящихся на его лицевом счете в качестве платы за участие в процедуре в случае признания такого заявителя победителем, в размере, указанном в Регламенте ЭТП ГПБ.</w:t>
      </w:r>
      <w:r>
        <w:rPr>
          <w:rFonts w:ascii="PT Astra Serif" w:hAnsi="PT Astra Serif" w:cs="PT Astra Serif"/>
          <w:color w:val="000000"/>
          <w:sz w:val="24"/>
          <w:szCs w:val="24"/>
          <w:highlight w:val="none"/>
        </w:rPr>
      </w:r>
      <w:r>
        <w:rPr>
          <w:rFonts w:ascii="PT Astra Serif" w:hAnsi="PT Astra Serif" w:cs="PT Astra Serif"/>
          <w:color w:val="000000"/>
          <w:sz w:val="24"/>
          <w:szCs w:val="24"/>
          <w:highlight w:val="none"/>
        </w:rPr>
      </w:r>
    </w:p>
    <w:p>
      <w:pPr>
        <w:pStyle w:val="871"/>
        <w:ind w:firstLine="709"/>
        <w:jc w:val="both"/>
        <w:rPr>
          <w:rFonts w:ascii="PT Astra Serif" w:hAnsi="PT Astra Serif" w:cs="PT Astra Serif"/>
          <w:b/>
          <w:color w:val="000000"/>
          <w:sz w:val="24"/>
          <w:szCs w:val="24"/>
        </w:rPr>
      </w:pPr>
      <w:r>
        <w:rPr>
          <w:rFonts w:ascii="PT Astra Serif" w:hAnsi="PT Astra Serif" w:eastAsia="PT Astra Serif" w:cs="PT Astra Serif"/>
          <w:b/>
          <w:color w:val="000000"/>
          <w:sz w:val="24"/>
          <w:szCs w:val="24"/>
        </w:rPr>
        <w:t xml:space="preserve">Требования к Участникам:</w:t>
      </w:r>
      <w:r>
        <w:rPr>
          <w:rFonts w:ascii="PT Astra Serif" w:hAnsi="PT Astra Serif" w:cs="PT Astra Serif"/>
          <w:b/>
          <w:color w:val="000000"/>
          <w:sz w:val="24"/>
          <w:szCs w:val="24"/>
        </w:rPr>
      </w:r>
      <w:r>
        <w:rPr>
          <w:rFonts w:ascii="PT Astra Serif" w:hAnsi="PT Astra Serif" w:cs="PT Astra Serif"/>
          <w:b/>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Для участия в торгах необходимо зарегистрироваться на ЭТП ГПБ и внести обеспечение заявки в соответствии с регламентом ЭТП  </w:t>
      </w:r>
      <w:r>
        <w:rPr>
          <w:rFonts w:ascii="PT Astra Serif" w:hAnsi="PT Astra Serif" w:eastAsia="PT Astra Serif" w:cs="PT Astra Serif"/>
          <w:color w:val="000000"/>
          <w:sz w:val="24"/>
          <w:szCs w:val="24"/>
        </w:rPr>
        <w:fldChar w:fldCharType="begin"/>
      </w:r>
      <w:r>
        <w:rPr>
          <w:rFonts w:ascii="PT Astra Serif" w:hAnsi="PT Astra Serif" w:eastAsia="PT Astra Serif" w:cs="PT Astra Serif"/>
          <w:color w:val="000000"/>
          <w:sz w:val="24"/>
          <w:szCs w:val="24"/>
        </w:rPr>
        <w:instrText xml:space="preserve"> HYPERLINK "https://etp.gpb.ru/" </w:instrText>
      </w:r>
      <w:r>
        <w:rPr>
          <w:rFonts w:ascii="PT Astra Serif" w:hAnsi="PT Astra Serif" w:eastAsia="PT Astra Serif" w:cs="PT Astra Serif"/>
          <w:color w:val="000000"/>
          <w:sz w:val="24"/>
          <w:szCs w:val="24"/>
        </w:rPr>
        <w:fldChar w:fldCharType="separate"/>
      </w:r>
      <w:r>
        <w:rPr>
          <w:rFonts w:ascii="PT Astra Serif" w:hAnsi="PT Astra Serif" w:eastAsia="PT Astra Serif" w:cs="PT Astra Serif"/>
          <w:color w:val="000000"/>
          <w:sz w:val="24"/>
          <w:szCs w:val="24"/>
        </w:rPr>
        <w:t xml:space="preserve">https://etp.gpb.ru/</w:t>
      </w:r>
      <w:r>
        <w:rPr>
          <w:rFonts w:ascii="PT Astra Serif" w:hAnsi="PT Astra Serif" w:eastAsia="PT Astra Serif" w:cs="PT Astra Serif"/>
          <w:color w:val="000000"/>
          <w:sz w:val="24"/>
          <w:szCs w:val="24"/>
        </w:rPr>
        <w:fldChar w:fldCharType="end"/>
      </w:r>
      <w:r>
        <w:rPr>
          <w:rFonts w:ascii="PT Astra Serif" w:hAnsi="PT Astra Serif" w:eastAsia="PT Astra Serif" w:cs="PT Astra Serif"/>
          <w:color w:val="000000"/>
          <w:sz w:val="24"/>
          <w:szCs w:val="24"/>
        </w:rPr>
        <w:t xml:space="preserve">.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 установленный в извещении и аукционной документации срок представить: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заявку на участие в торгах, которая должна </w:t>
      </w:r>
      <w:r>
        <w:rPr>
          <w:rFonts w:ascii="PT Astra Serif" w:hAnsi="PT Astra Serif" w:eastAsia="PT Astra Serif" w:cs="PT Astra Serif"/>
          <w:color w:val="000000"/>
          <w:sz w:val="24"/>
          <w:szCs w:val="24"/>
        </w:rPr>
        <w:t xml:space="preserve">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w:t>
      </w:r>
      <w:r>
        <w:rPr>
          <w:rFonts w:ascii="PT Astra Serif" w:hAnsi="PT Astra Serif" w:eastAsia="PT Astra Serif" w:cs="PT Astra Serif"/>
          <w:color w:val="000000"/>
          <w:sz w:val="24"/>
          <w:szCs w:val="24"/>
        </w:rPr>
        <w:t xml:space="preserve">я (для физического лица); номер контактного телефона, адрес электронной почты заявителя, ИНН; и приложить следующие документы: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сканированную</w:t>
      </w:r>
      <w:r>
        <w:rPr>
          <w:rFonts w:ascii="PT Astra Serif" w:hAnsi="PT Astra Serif" w:eastAsia="PT Astra Serif" w:cs="PT Astra Serif"/>
          <w:color w:val="000000"/>
          <w:sz w:val="24"/>
          <w:szCs w:val="24"/>
        </w:rPr>
        <w:t xml:space="preserve">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 </w:t>
      </w:r>
      <w:r>
        <w:rPr>
          <w:rFonts w:ascii="PT Astra Serif" w:hAnsi="PT Astra Serif" w:eastAsia="PT Astra Serif" w:cs="PT Astra Serif"/>
          <w:color w:val="000000"/>
          <w:sz w:val="24"/>
          <w:szCs w:val="24"/>
        </w:rPr>
        <w:t xml:space="preserve">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сканированную копию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w:t>
      </w:r>
      <w:r>
        <w:rPr>
          <w:rFonts w:ascii="PT Astra Serif" w:hAnsi="PT Astra Serif" w:eastAsia="PT Astra Serif" w:cs="PT Astra Serif"/>
          <w:color w:val="000000"/>
          <w:sz w:val="24"/>
          <w:szCs w:val="24"/>
        </w:rPr>
        <w:t xml:space="preserve">установлено законодательством Российской Федерации и (или) учредительными документами юридического лица и если для участника открытых торгов приобретение имущества или внесение задатка является крупной сделкой или сделкой с заинтересованностью; согласие со</w:t>
      </w:r>
      <w:r>
        <w:rPr>
          <w:rFonts w:ascii="PT Astra Serif" w:hAnsi="PT Astra Serif" w:eastAsia="PT Astra Serif" w:cs="PT Astra Serif"/>
          <w:color w:val="000000"/>
          <w:sz w:val="24"/>
          <w:szCs w:val="24"/>
        </w:rPr>
        <w:t xml:space="preserve">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сканированную копию документа, подтверждающего полномочия руководителя;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доверенность или иной документ, подтверждающий полномочия лица, действовать от имени заявителя (в случае подачи заявки уполномоченным лицом);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информацию о цепочке собственников, включая бенефициаров (в том числе конечных), с подтверждением соответствующими документами.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highlight w:val="none"/>
        </w:rPr>
      </w:pPr>
      <w:r>
        <w:rPr>
          <w:rFonts w:ascii="PT Astra Serif" w:hAnsi="PT Astra Serif" w:eastAsia="PT Astra Serif" w:cs="PT Astra Serif"/>
          <w:color w:val="000000"/>
          <w:sz w:val="24"/>
          <w:szCs w:val="24"/>
        </w:rPr>
        <w:t xml:space="preserve">Непредставление вышеперечисленных документов может служить основанием для не допуска к участию в аукционе.</w:t>
      </w:r>
      <w:r>
        <w:rPr>
          <w:rFonts w:ascii="PT Astra Serif" w:hAnsi="PT Astra Serif" w:cs="PT Astra Serif"/>
          <w:color w:val="000000"/>
          <w:sz w:val="24"/>
          <w:szCs w:val="24"/>
          <w:highlight w:val="none"/>
        </w:rPr>
      </w:r>
      <w:r>
        <w:rPr>
          <w:rFonts w:ascii="PT Astra Serif" w:hAnsi="PT Astra Serif" w:cs="PT Astra Serif"/>
          <w:color w:val="000000"/>
          <w:sz w:val="24"/>
          <w:szCs w:val="24"/>
          <w:highlight w:val="none"/>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b/>
          <w:color w:val="000000"/>
          <w:sz w:val="24"/>
          <w:szCs w:val="24"/>
        </w:rPr>
        <w:t xml:space="preserve">Рассмотрение заявок и допуск к участию в торгах</w:t>
      </w:r>
      <w:r>
        <w:rPr>
          <w:rFonts w:ascii="PT Astra Serif" w:hAnsi="PT Astra Serif" w:eastAsia="PT Astra Serif" w:cs="PT Astra Serif"/>
          <w:color w:val="000000"/>
          <w:sz w:val="24"/>
          <w:szCs w:val="24"/>
        </w:rPr>
        <w:t xml:space="preserve">:</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ЭТП обеспечивает для пользователей Организаторов / Заказчиков, функционал по рассмотрению заявок на участие в процедурах в соответствии с Руководством оператора ЭТП, которое размещается в открытой части ЭТП.</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Сроки рассмотрения заявок устанавливаются Организатором в ходе публикации извещения о проведении процедуры и определяется собственными потребностями или внутренними регламентами (при их наличии) Организатора.</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На ЭТП ведется учет принятых, возвращенных и отозванных заявок на участие в процедурах. В течение одного дня после окончания срока подачи заявок, установленного Организатором, заявки становятся доступны для рассмотрения.</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Организатор производит рассмотрение заявок в срок рассмотрения, указанный им в процессе публикации извещения о проведении процедуры.</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По итогам рассмотрения заявок Организатор принимает решение о допуске (об отказе в допуске) Пользователей к участию в торгах и формирует протокол рассмотрения заявок.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b/>
          <w:color w:val="000000"/>
          <w:sz w:val="24"/>
          <w:szCs w:val="24"/>
        </w:rPr>
      </w:pPr>
      <w:r>
        <w:rPr>
          <w:rFonts w:ascii="PT Astra Serif" w:hAnsi="PT Astra Serif" w:eastAsia="PT Astra Serif" w:cs="PT Astra Serif"/>
          <w:b/>
          <w:color w:val="000000"/>
          <w:sz w:val="24"/>
          <w:szCs w:val="24"/>
        </w:rPr>
        <w:t xml:space="preserve">Участник не допускается к участию в торгах в следующих случаях: </w:t>
      </w:r>
      <w:r>
        <w:rPr>
          <w:rFonts w:ascii="PT Astra Serif" w:hAnsi="PT Astra Serif" w:cs="PT Astra Serif"/>
          <w:b/>
          <w:color w:val="000000"/>
          <w:sz w:val="24"/>
          <w:szCs w:val="24"/>
        </w:rPr>
      </w:r>
      <w:r>
        <w:rPr>
          <w:rFonts w:ascii="PT Astra Serif" w:hAnsi="PT Astra Serif" w:cs="PT Astra Serif"/>
          <w:b/>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заявка подана лицом, не уполномоченным Участником на осуществление таких действий;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представлены не все документы по перечню, опубликованному в Информационном сообщении о проведении торгов;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участником представлены недостоверные сведения.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b/>
          <w:color w:val="000000"/>
          <w:sz w:val="24"/>
          <w:szCs w:val="24"/>
        </w:rPr>
      </w:pPr>
      <w:r>
        <w:rPr>
          <w:rFonts w:ascii="PT Astra Serif" w:hAnsi="PT Astra Serif" w:eastAsia="PT Astra Serif" w:cs="PT Astra Serif"/>
          <w:b/>
          <w:color w:val="000000"/>
          <w:sz w:val="24"/>
          <w:szCs w:val="24"/>
        </w:rPr>
        <w:t xml:space="preserve">Порядок проведения торгов:</w:t>
      </w:r>
      <w:r>
        <w:rPr>
          <w:rFonts w:ascii="PT Astra Serif" w:hAnsi="PT Astra Serif" w:cs="PT Astra Serif"/>
          <w:b/>
          <w:color w:val="000000"/>
          <w:sz w:val="24"/>
          <w:szCs w:val="24"/>
        </w:rPr>
      </w:r>
      <w:r>
        <w:rPr>
          <w:rFonts w:ascii="PT Astra Serif" w:hAnsi="PT Astra Serif" w:cs="PT Astra Serif"/>
          <w:b/>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Пользователь, допущенный к участию в торгах, приобретает статус Участника с момента оформления Протокола об определении Участников торгов.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ЭТП обеспечивает функционал проведения аукциона / редукциона. Инструкция по участию в аукционе доступна в Руководстве пользователя ЭТП, которое размещается в открытой части ЭТП.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ЭТП обеспечивает проведение аукциона в назначенные дату и время проведения, указанную в извещении при у</w:t>
      </w:r>
      <w:r>
        <w:rPr>
          <w:rFonts w:ascii="PT Astra Serif" w:hAnsi="PT Astra Serif" w:eastAsia="PT Astra Serif" w:cs="PT Astra Serif"/>
          <w:color w:val="000000"/>
          <w:sz w:val="24"/>
          <w:szCs w:val="24"/>
        </w:rPr>
        <w:t xml:space="preserve">словии, что по итогам рассмотрения заявок к участию в процедуре были допущены не менее двух Участников торгов. Начало и окончание проведения аукциона, а также время поступления ценовых предложений определяется по времени сервера, на котором размещена ЭТП.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Сроки и шаг подачи ценовых предложений в ходе аукциона / редукциона указывается Организатором в извещении о проведении аукциона.</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С момента начала проведения аукциона Участники торгов вправе подать свои предложения о цене договора.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Время, оставшееся до истечения срока подачи ценовых предложений, продлевается автоматически после поступления очередного предложения о цене договора.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Повышение начальной цены производится на «шаг аукциона», указанного Организатором при публикации извещения о проведении процедуры.</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Участник аукциона не вправе подавать предложение о цене договора, равное предложению или меньшее, чем предложение о цене договора, которое было подано им ранее.</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Каждое ценовое предложение, подаваемое в ходе процедуры, подписывается ЭП.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 случае </w:t>
      </w:r>
      <w:r>
        <w:rPr>
          <w:rFonts w:ascii="PT Astra Serif" w:hAnsi="PT Astra Serif" w:eastAsia="PT Astra Serif" w:cs="PT Astra Serif"/>
          <w:color w:val="000000"/>
          <w:sz w:val="24"/>
          <w:szCs w:val="24"/>
        </w:rPr>
        <w:t xml:space="preserve">если с момента приема последнего предложения или с момента начала аукциона в течение времени ожидания поступления ценовых предложений, указанного в извещении о проведении процедуры, не было подано ни одного предложения,  аукцион автоматически завершается.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b/>
          <w:color w:val="000000"/>
          <w:sz w:val="24"/>
          <w:szCs w:val="24"/>
        </w:rPr>
      </w:pPr>
      <w:r>
        <w:rPr>
          <w:rFonts w:ascii="PT Astra Serif" w:hAnsi="PT Astra Serif" w:eastAsia="PT Astra Serif" w:cs="PT Astra Serif"/>
          <w:b/>
          <w:color w:val="000000"/>
          <w:sz w:val="24"/>
          <w:szCs w:val="24"/>
        </w:rPr>
        <w:t xml:space="preserve">Подведение итогов:</w:t>
      </w:r>
      <w:r>
        <w:rPr>
          <w:rFonts w:ascii="PT Astra Serif" w:hAnsi="PT Astra Serif" w:cs="PT Astra Serif"/>
          <w:b/>
          <w:color w:val="000000"/>
          <w:sz w:val="24"/>
          <w:szCs w:val="24"/>
        </w:rPr>
      </w:r>
      <w:r>
        <w:rPr>
          <w:rFonts w:ascii="PT Astra Serif" w:hAnsi="PT Astra Serif" w:cs="PT Astra Serif"/>
          <w:b/>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По факту завершения аукциона на ЭТП Организатору доступен функционал рассмотрения вторых заявок Участников торгов и принятия решения о выборе победителя.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Участник, который предложил наиболее высокую цену договора и заявка которого соответствует требованиям извещения и документации о процедуре, признается победителем.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По факту окончания процедуры Организатор / Заказчик публикует протокол подведения итогов. Такой протокол должен содержать: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наименование Участников торгов, подавших заявки;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наименование победителя;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указание мест, занятых другими участниками.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основание отклонения заявки с указанием пункта извещения, которому не соответствует заявка.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sz w:val="24"/>
          <w:szCs w:val="24"/>
          <w:lang w:eastAsia="en-US"/>
        </w:rPr>
        <w:t xml:space="preserve">Торги признаются несостоявшимися в следующих случаях:</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contextualSpacing/>
        <w:ind w:left="709"/>
        <w:jc w:val="both"/>
        <w:spacing w:after="3" w:line="24" w:lineRule="atLeast"/>
        <w:tabs>
          <w:tab w:val="left" w:pos="709" w:leader="none"/>
        </w:tabs>
        <w:rPr>
          <w:rFonts w:ascii="PT Astra Serif" w:hAnsi="PT Astra Serif" w:cs="PT Astra Serif"/>
          <w:sz w:val="24"/>
          <w:szCs w:val="24"/>
        </w:rPr>
      </w:pPr>
      <w:r>
        <w:rPr>
          <w:rFonts w:ascii="PT Astra Serif" w:hAnsi="PT Astra Serif" w:eastAsia="PT Astra Serif" w:cs="PT Astra Serif"/>
          <w:sz w:val="24"/>
          <w:szCs w:val="24"/>
          <w:lang w:eastAsia="en-US"/>
        </w:rPr>
        <w:t xml:space="preserve">- при отсутствии заявок на участие в конкурентной процедуре, либо ни один из заявителей на участие не признан участником торгов;</w:t>
      </w:r>
      <w:r>
        <w:rPr>
          <w:rFonts w:ascii="PT Astra Serif" w:hAnsi="PT Astra Serif" w:cs="PT Astra Serif"/>
          <w:sz w:val="24"/>
          <w:szCs w:val="24"/>
        </w:rPr>
      </w:r>
      <w:r>
        <w:rPr>
          <w:rFonts w:ascii="PT Astra Serif" w:hAnsi="PT Astra Serif" w:cs="PT Astra Serif"/>
          <w:sz w:val="24"/>
          <w:szCs w:val="24"/>
        </w:rPr>
      </w:r>
    </w:p>
    <w:p>
      <w:pPr>
        <w:pStyle w:val="871"/>
        <w:contextualSpacing/>
        <w:ind w:left="709"/>
        <w:jc w:val="both"/>
        <w:spacing w:after="3" w:line="24" w:lineRule="atLeast"/>
        <w:tabs>
          <w:tab w:val="left" w:pos="993" w:leader="none"/>
        </w:tabs>
        <w:rPr>
          <w:rFonts w:ascii="PT Astra Serif" w:hAnsi="PT Astra Serif" w:cs="PT Astra Serif"/>
          <w:sz w:val="24"/>
          <w:szCs w:val="24"/>
        </w:rPr>
      </w:pPr>
      <w:r>
        <w:rPr>
          <w:rFonts w:ascii="PT Astra Serif" w:hAnsi="PT Astra Serif" w:eastAsia="PT Astra Serif" w:cs="PT Astra Serif"/>
          <w:sz w:val="24"/>
          <w:szCs w:val="24"/>
          <w:lang w:eastAsia="en-US"/>
        </w:rPr>
        <w:t xml:space="preserve">- к участию в торгах допущен только один участник;</w:t>
      </w:r>
      <w:r>
        <w:rPr>
          <w:rFonts w:ascii="PT Astra Serif" w:hAnsi="PT Astra Serif" w:cs="PT Astra Serif"/>
          <w:sz w:val="24"/>
          <w:szCs w:val="24"/>
        </w:rPr>
      </w:r>
      <w:r>
        <w:rPr>
          <w:rFonts w:ascii="PT Astra Serif" w:hAnsi="PT Astra Serif" w:cs="PT Astra Serif"/>
          <w:sz w:val="24"/>
          <w:szCs w:val="24"/>
        </w:rPr>
      </w:r>
    </w:p>
    <w:p>
      <w:pPr>
        <w:pStyle w:val="871"/>
        <w:contextualSpacing/>
        <w:ind w:left="709"/>
        <w:jc w:val="both"/>
        <w:spacing w:after="3" w:line="24" w:lineRule="atLeast"/>
        <w:tabs>
          <w:tab w:val="left" w:pos="993" w:leader="none"/>
        </w:tabs>
        <w:rPr>
          <w:rFonts w:ascii="PT Astra Serif" w:hAnsi="PT Astra Serif" w:cs="PT Astra Serif"/>
          <w:sz w:val="24"/>
          <w:szCs w:val="24"/>
        </w:rPr>
      </w:pPr>
      <w:r>
        <w:rPr>
          <w:rFonts w:ascii="PT Astra Serif" w:hAnsi="PT Astra Serif" w:eastAsia="PT Astra Serif" w:cs="PT Astra Serif"/>
          <w:sz w:val="24"/>
          <w:szCs w:val="24"/>
          <w:lang w:eastAsia="en-US"/>
        </w:rPr>
        <w:t xml:space="preserve">- ни один из участников не сделал ценовое предложение в ходе проведения конкурентной процедуры.</w:t>
      </w:r>
      <w:r>
        <w:rPr>
          <w:rFonts w:ascii="PT Astra Serif" w:hAnsi="PT Astra Serif" w:cs="PT Astra Serif"/>
          <w:sz w:val="24"/>
          <w:szCs w:val="24"/>
        </w:rPr>
      </w:r>
      <w:r>
        <w:rPr>
          <w:rFonts w:ascii="PT Astra Serif" w:hAnsi="PT Astra Serif" w:cs="PT Astra Serif"/>
          <w:sz w:val="24"/>
          <w:szCs w:val="24"/>
        </w:rPr>
      </w:r>
    </w:p>
    <w:p>
      <w:pPr>
        <w:pStyle w:val="871"/>
        <w:contextualSpacing/>
        <w:ind w:firstLine="709"/>
        <w:jc w:val="both"/>
        <w:spacing w:after="3" w:line="24" w:lineRule="atLeast"/>
        <w:tabs>
          <w:tab w:val="left" w:pos="0" w:leader="none"/>
        </w:tabs>
        <w:rPr>
          <w:rFonts w:ascii="PT Astra Serif" w:hAnsi="PT Astra Serif" w:cs="PT Astra Serif"/>
          <w:sz w:val="24"/>
          <w:szCs w:val="24"/>
        </w:rPr>
      </w:pPr>
      <w:r>
        <w:rPr>
          <w:rFonts w:ascii="PT Astra Serif" w:hAnsi="PT Astra Serif" w:eastAsia="PT Astra Serif" w:cs="PT Astra Serif"/>
          <w:sz w:val="24"/>
          <w:szCs w:val="24"/>
          <w:lang w:eastAsia="en-US"/>
        </w:rPr>
        <w:t xml:space="preserve">В случае признания торгов несостоявшимися Организатором торгов формируется протокол о признании процедуры несостоявшейся</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b/>
          <w:color w:val="000000"/>
          <w:sz w:val="24"/>
          <w:szCs w:val="24"/>
        </w:rPr>
      </w:pPr>
      <w:r>
        <w:rPr>
          <w:rFonts w:ascii="PT Astra Serif" w:hAnsi="PT Astra Serif" w:eastAsia="PT Astra Serif" w:cs="PT Astra Serif"/>
          <w:b/>
          <w:color w:val="000000"/>
          <w:sz w:val="24"/>
          <w:szCs w:val="24"/>
        </w:rPr>
        <w:t xml:space="preserve">Порядок заключения договора купли-продажи, порядок расчетов:</w:t>
      </w:r>
      <w:r>
        <w:rPr>
          <w:rFonts w:ascii="PT Astra Serif" w:hAnsi="PT Astra Serif" w:cs="PT Astra Serif"/>
          <w:b/>
          <w:color w:val="000000"/>
          <w:sz w:val="24"/>
          <w:szCs w:val="24"/>
        </w:rPr>
      </w:r>
      <w:r>
        <w:rPr>
          <w:rFonts w:ascii="PT Astra Serif" w:hAnsi="PT Astra Serif" w:cs="PT Astra Serif"/>
          <w:b/>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Договор купли-продажи заключается между Продавцом и Победителем торгов в срок не позднее 15 дней, отсчитываемых от даты оформления Протокола об итогах торгов.</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Оплата имущества Победителем торгов осуществляется в порядке и сроки, установленные в договоре купли-продажи.</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 случае уклонения (отказа) Победи</w:t>
      </w:r>
      <w:r>
        <w:rPr>
          <w:rFonts w:ascii="PT Astra Serif" w:hAnsi="PT Astra Serif" w:eastAsia="PT Astra Serif" w:cs="PT Astra Serif"/>
          <w:color w:val="000000"/>
          <w:sz w:val="24"/>
          <w:szCs w:val="24"/>
        </w:rPr>
        <w:t xml:space="preserve">теля торгов от подписания протокола об итогах торгов, заключения в указанный срок договора купли-продажи Имущества или неисполнения в установленный срок обязательства по оплате Имущества, он лишается права на его приобретение и задаток ему не возвращается.</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84"/>
        <w:ind w:firstLine="709"/>
        <w:jc w:val="both"/>
        <w:tabs>
          <w:tab w:val="left" w:pos="993" w:leader="none"/>
        </w:tabs>
        <w:rPr>
          <w:rFonts w:ascii="PT Astra Serif" w:hAnsi="PT Astra Serif" w:cs="PT Astra Serif"/>
        </w:rPr>
      </w:pPr>
      <w:r>
        <w:rPr>
          <w:rFonts w:ascii="PT Astra Serif" w:hAnsi="PT Astra Serif" w:eastAsia="PT Astra Serif" w:cs="PT Astra Serif"/>
        </w:rPr>
        <w:t xml:space="preserve">При уклонении (отказе) Победителя от исполнения условий договора купли-продажи, либо наруш</w:t>
      </w:r>
      <w:r>
        <w:rPr>
          <w:rFonts w:ascii="PT Astra Serif" w:hAnsi="PT Astra Serif" w:eastAsia="PT Astra Serif" w:cs="PT Astra Serif"/>
        </w:rPr>
        <w:t xml:space="preserve">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аукциона в части утверждения Победителя аукциона Продавцом аннулируются.</w:t>
      </w:r>
      <w:r>
        <w:rPr>
          <w:rFonts w:ascii="PT Astra Serif" w:hAnsi="PT Astra Serif" w:cs="PT Astra Serif"/>
        </w:rPr>
      </w:r>
      <w:r>
        <w:rPr>
          <w:rFonts w:ascii="PT Astra Serif" w:hAnsi="PT Astra Serif" w:cs="PT Astra Serif"/>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 таком случае Продавец имеет право з</w:t>
      </w:r>
      <w:r>
        <w:rPr>
          <w:rFonts w:ascii="PT Astra Serif" w:hAnsi="PT Astra Serif" w:eastAsia="PT Astra Serif" w:cs="PT Astra Serif"/>
          <w:color w:val="000000"/>
          <w:sz w:val="24"/>
          <w:szCs w:val="24"/>
        </w:rPr>
        <w:t xml:space="preserve">аключить договор купли-продажи Имущества с участниками аукциона, сделавшими предыдущие предложения по цене Имущества, путем последовательного направления таким участникам аукциона (начиная от участника, предложившего наибольшую цену, и заканчивая участнико</w:t>
      </w:r>
      <w:r>
        <w:rPr>
          <w:rFonts w:ascii="PT Astra Serif" w:hAnsi="PT Astra Serif" w:eastAsia="PT Astra Serif" w:cs="PT Astra Serif"/>
          <w:color w:val="000000"/>
          <w:sz w:val="24"/>
          <w:szCs w:val="24"/>
        </w:rPr>
        <w:t xml:space="preserve">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аукциона (письменно выразившим намерение Продавцу на его оферту о приобретении Имущес</w:t>
      </w:r>
      <w:r>
        <w:rPr>
          <w:rFonts w:ascii="PT Astra Serif" w:hAnsi="PT Astra Serif" w:eastAsia="PT Astra Serif" w:cs="PT Astra Serif"/>
          <w:color w:val="000000"/>
          <w:sz w:val="24"/>
          <w:szCs w:val="24"/>
        </w:rPr>
        <w:t xml:space="preserve">тва) договор купли-продажи Имущества заключается в течение 30 (тридцати) календарных дней с даты ответа (согласия) участника аукциона на оферту Продавца. Указанный срок может быть продлен по соглашению Продавца и участника аукциона (путем обмена письмами).</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Участникам аукциона, не ставшим Победителями, суммы внесенного ими задатка возвращаются в течение 5 (пяти) рабочих дней с даты оформления протокола об итогах аукциона по реквизитам Участника, указанным в соответствующем договоре.</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В случае если аукцион был признан несостоявшимся п</w:t>
      </w:r>
      <w:r>
        <w:rPr>
          <w:rFonts w:ascii="PT Astra Serif" w:hAnsi="PT Astra Serif" w:eastAsia="PT Astra Serif" w:cs="PT Astra Serif"/>
          <w:color w:val="000000"/>
          <w:sz w:val="24"/>
          <w:szCs w:val="24"/>
        </w:rPr>
        <w:t xml:space="preserve">о причине наличия только одного участника, реализация имущества может быть осуществлена путем направления такому участнику оферты с указанием цены, которая не может быть ниже начальной цены. В случае письменного согласия указанного единственного участника </w:t>
      </w:r>
      <w:r>
        <w:rPr>
          <w:rFonts w:ascii="PT Astra Serif" w:hAnsi="PT Astra Serif" w:eastAsia="PT Astra Serif" w:cs="PT Astra Serif"/>
          <w:sz w:val="24"/>
          <w:szCs w:val="24"/>
          <w:lang w:eastAsia="en-US"/>
        </w:rPr>
        <w:t xml:space="preserve">аукциона </w:t>
      </w:r>
      <w:r>
        <w:rPr>
          <w:rFonts w:ascii="PT Astra Serif" w:hAnsi="PT Astra Serif" w:eastAsia="PT Astra Serif" w:cs="PT Astra Serif"/>
          <w:color w:val="000000"/>
          <w:sz w:val="24"/>
          <w:szCs w:val="24"/>
        </w:rPr>
        <w:t xml:space="preserve">с ним заключается договор купли-продажи Имущества.  </w:t>
      </w:r>
      <w:r>
        <w:rPr>
          <w:rFonts w:ascii="PT Astra Serif" w:hAnsi="PT Astra Serif" w:cs="PT Astra Serif"/>
          <w:color w:val="000000"/>
          <w:sz w:val="24"/>
          <w:szCs w:val="24"/>
        </w:rPr>
      </w:r>
      <w:r>
        <w:rPr>
          <w:rFonts w:ascii="PT Astra Serif" w:hAnsi="PT Astra Serif" w:cs="PT Astra Serif"/>
          <w:color w:val="000000"/>
          <w:sz w:val="24"/>
          <w:szCs w:val="24"/>
        </w:rPr>
      </w:r>
    </w:p>
    <w:p>
      <w:pPr>
        <w:pStyle w:val="871"/>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rPr>
        <w:t xml:space="preserve">Переход права собственности на реализованное Имущество осуществляется в соответствии с договором купли-продажи.</w:t>
      </w:r>
      <w:r>
        <w:rPr>
          <w:rFonts w:ascii="PT Astra Serif" w:hAnsi="PT Astra Serif" w:cs="PT Astra Serif"/>
          <w:color w:val="000000"/>
          <w:sz w:val="24"/>
          <w:szCs w:val="24"/>
        </w:rPr>
      </w:r>
      <w:r>
        <w:rPr>
          <w:rFonts w:ascii="PT Astra Serif" w:hAnsi="PT Astra Serif" w:cs="PT Astra Serif"/>
          <w:color w:val="000000"/>
          <w:sz w:val="24"/>
          <w:szCs w:val="24"/>
        </w:rPr>
      </w:r>
    </w:p>
    <w:p>
      <w:pPr>
        <w:ind w:firstLine="709"/>
        <w:jc w:val="both"/>
        <w:rPr>
          <w:rFonts w:ascii="PT Astra Serif" w:hAnsi="PT Astra Serif" w:cs="PT Astra Serif"/>
          <w:color w:val="000000"/>
          <w:sz w:val="24"/>
          <w:szCs w:val="24"/>
        </w:rPr>
      </w:pPr>
      <w:r>
        <w:rPr>
          <w:rFonts w:ascii="PT Astra Serif" w:hAnsi="PT Astra Serif" w:eastAsia="PT Astra Serif" w:cs="PT Astra Serif"/>
          <w:color w:val="000000"/>
          <w:sz w:val="24"/>
          <w:szCs w:val="24"/>
          <w:highlight w:val="none"/>
        </w:rPr>
      </w:r>
      <w:r>
        <w:rPr>
          <w:rFonts w:ascii="PT Astra Serif" w:hAnsi="PT Astra Serif" w:cs="PT Astra Serif"/>
          <w:color w:val="000000"/>
          <w:sz w:val="24"/>
          <w:szCs w:val="24"/>
        </w:rPr>
      </w:r>
      <w:r>
        <w:rPr>
          <w:rFonts w:ascii="PT Astra Serif" w:hAnsi="PT Astra Serif" w:cs="PT Astra Serif"/>
          <w:color w:val="000000"/>
          <w:sz w:val="24"/>
          <w:szCs w:val="24"/>
        </w:rPr>
      </w:r>
    </w:p>
    <w:p>
      <w:pPr>
        <w:contextualSpacing/>
        <w:ind w:firstLine="0"/>
        <w:jc w:val="both"/>
        <w:tabs>
          <w:tab w:val="left" w:pos="1134" w:leader="none"/>
        </w:tabs>
        <w:rPr>
          <w:rFonts w:ascii="PT Astra Serif" w:hAnsi="PT Astra Serif" w:cs="PT Astra Serif"/>
          <w:b/>
          <w:bCs/>
          <w:sz w:val="28"/>
          <w:szCs w:val="28"/>
        </w:rPr>
      </w:pPr>
      <w:r>
        <w:rPr>
          <w:rFonts w:ascii="PT Astra Serif" w:hAnsi="PT Astra Serif" w:eastAsia="PT Astra Serif" w:cs="PT Astra Serif"/>
          <w:b/>
          <w:sz w:val="28"/>
          <w:szCs w:val="28"/>
          <w:highlight w:val="none"/>
          <w:lang w:val="en-US"/>
        </w:rPr>
      </w:r>
      <w:r>
        <w:rPr>
          <w:rFonts w:ascii="PT Astra Serif" w:hAnsi="PT Astra Serif" w:cs="PT Astra Serif"/>
          <w:b/>
          <w:bCs/>
          <w:sz w:val="28"/>
          <w:szCs w:val="28"/>
        </w:rPr>
      </w:r>
      <w:r>
        <w:rPr>
          <w:rFonts w:ascii="PT Astra Serif" w:hAnsi="PT Astra Serif" w:cs="PT Astra Serif"/>
          <w:b/>
          <w:bCs/>
          <w:sz w:val="28"/>
          <w:szCs w:val="28"/>
        </w:rPr>
      </w:r>
    </w:p>
    <w:sectPr>
      <w:footnotePr/>
      <w:endnotePr/>
      <w:type w:val="nextPage"/>
      <w:pgSz w:w="11906" w:h="16838" w:orient="portrait"/>
      <w:pgMar w:top="1134" w:right="851" w:bottom="709" w:left="1134"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Calibri">
    <w:panose1 w:val="020F0502020204030204"/>
  </w:font>
  <w:font w:name="Tahoma">
    <w:panose1 w:val="020B0604030504040204"/>
  </w:font>
  <w:font w:name="Arial Narrow">
    <w:panose1 w:val="020B0604020202020204"/>
  </w:font>
  <w:font w:name="Times New Roman">
    <w:panose1 w:val="02020603050405020304"/>
  </w:font>
  <w:font w:name="HeliosCond">
    <w:panose1 w:val="020B0500000000000000"/>
  </w:font>
  <w:font w:name="PT Astra Serif">
    <w:panose1 w:val="020A0603040505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2"/>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3">
    <w:multiLevelType w:val="hybridMultilevel"/>
    <w:lvl w:ilvl="0">
      <w:start w:val="4"/>
      <w:numFmt w:val="decimal"/>
      <w:isLgl w:val="false"/>
      <w:suff w:val="tab"/>
      <w:lvlText w:val="%1."/>
      <w:lvlJc w:val="left"/>
      <w:pPr>
        <w:ind w:left="450" w:hanging="450"/>
      </w:pPr>
      <w:rPr>
        <w:rFonts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cs="Times New Roman"/>
        <w:b w:val="0"/>
      </w:rPr>
    </w:lvl>
    <w:lvl w:ilvl="3">
      <w:start w:val="1"/>
      <w:numFmt w:val="decimal"/>
      <w:isLgl w:val="false"/>
      <w:suff w:val="tab"/>
      <w:lvlText w:val="%1.%2.%3.%4."/>
      <w:lvlJc w:val="left"/>
      <w:pPr>
        <w:ind w:left="1080" w:hanging="1080"/>
      </w:pPr>
      <w:rPr>
        <w:rFonts w:cs="Times New Roman"/>
        <w:color w:val="000000"/>
      </w:rPr>
    </w:lvl>
    <w:lvl w:ilvl="4">
      <w:start w:val="1"/>
      <w:numFmt w:val="decimal"/>
      <w:isLgl w:val="false"/>
      <w:suff w:val="tab"/>
      <w:lvlText w:val="%1.%2.%3.%4.%5."/>
      <w:lvlJc w:val="left"/>
      <w:pPr>
        <w:ind w:left="1080" w:hanging="1080"/>
      </w:pPr>
      <w:rPr>
        <w:rFonts w:cs="Times New Roman"/>
      </w:rPr>
    </w:lvl>
    <w:lvl w:ilvl="5">
      <w:start w:val="1"/>
      <w:numFmt w:val="decimal"/>
      <w:isLgl w:val="false"/>
      <w:suff w:val="tab"/>
      <w:lvlText w:val="%1.%2.%3.%4.%5.%6."/>
      <w:lvlJc w:val="left"/>
      <w:pPr>
        <w:ind w:left="1440" w:hanging="1440"/>
      </w:pPr>
      <w:rPr>
        <w:rFonts w:cs="Times New Roman"/>
      </w:rPr>
    </w:lvl>
    <w:lvl w:ilvl="6">
      <w:start w:val="1"/>
      <w:numFmt w:val="decimal"/>
      <w:isLgl w:val="false"/>
      <w:suff w:val="tab"/>
      <w:lvlText w:val="%1.%2.%3.%4.%5.%6.%7."/>
      <w:lvlJc w:val="left"/>
      <w:pPr>
        <w:ind w:left="1800" w:hanging="1800"/>
      </w:pPr>
      <w:rPr>
        <w:rFonts w:cs="Times New Roman"/>
      </w:rPr>
    </w:lvl>
    <w:lvl w:ilvl="7">
      <w:start w:val="1"/>
      <w:numFmt w:val="decimal"/>
      <w:isLgl w:val="false"/>
      <w:suff w:val="tab"/>
      <w:lvlText w:val="%1.%2.%3.%4.%5.%6.%7.%8."/>
      <w:lvlJc w:val="left"/>
      <w:pPr>
        <w:ind w:left="1800" w:hanging="1800"/>
      </w:pPr>
      <w:rPr>
        <w:rFonts w:cs="Times New Roman"/>
      </w:rPr>
    </w:lvl>
    <w:lvl w:ilvl="8">
      <w:start w:val="1"/>
      <w:numFmt w:val="decimal"/>
      <w:isLgl w:val="false"/>
      <w:suff w:val="tab"/>
      <w:lvlText w:val="%1.%2.%3.%4.%5.%6.%7.%8.%9."/>
      <w:lvlJc w:val="left"/>
      <w:pPr>
        <w:ind w:left="2160" w:hanging="2160"/>
      </w:pPr>
      <w:rPr>
        <w:rFonts w:cs="Times New Roman"/>
      </w:rPr>
    </w:lvl>
  </w:abstractNum>
  <w:abstractNum w:abstractNumId="4">
    <w:multiLevelType w:val="hybridMultilevel"/>
    <w:lvl w:ilvl="0">
      <w:start w:val="1"/>
      <w:numFmt w:val="decimal"/>
      <w:isLgl w:val="false"/>
      <w:suff w:val="tab"/>
      <w:lvlText w:val="%1."/>
      <w:lvlJc w:val="left"/>
      <w:pPr>
        <w:ind w:left="2073" w:hanging="360"/>
      </w:p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1068" w:hanging="360"/>
        <w:tabs>
          <w:tab w:val="num" w:pos="1068" w:leader="none"/>
        </w:tabs>
      </w:pPr>
    </w:lvl>
    <w:lvl w:ilvl="1">
      <w:start w:val="1"/>
      <w:numFmt w:val="lowerLetter"/>
      <w:isLgl w:val="false"/>
      <w:suff w:val="tab"/>
      <w:lvlText w:val="%2."/>
      <w:lvlJc w:val="left"/>
      <w:pPr>
        <w:ind w:left="1788" w:hanging="360"/>
        <w:tabs>
          <w:tab w:val="num" w:pos="1788" w:leader="none"/>
        </w:tabs>
      </w:pPr>
    </w:lvl>
    <w:lvl w:ilvl="2">
      <w:start w:val="1"/>
      <w:numFmt w:val="lowerRoman"/>
      <w:isLgl w:val="false"/>
      <w:suff w:val="tab"/>
      <w:lvlText w:val="%3."/>
      <w:lvlJc w:val="right"/>
      <w:pPr>
        <w:ind w:left="2508" w:hanging="180"/>
        <w:tabs>
          <w:tab w:val="num" w:pos="2508" w:leader="none"/>
        </w:tabs>
      </w:pPr>
    </w:lvl>
    <w:lvl w:ilvl="3">
      <w:start w:val="1"/>
      <w:numFmt w:val="decimal"/>
      <w:isLgl w:val="false"/>
      <w:suff w:val="tab"/>
      <w:lvlText w:val="%4."/>
      <w:lvlJc w:val="left"/>
      <w:pPr>
        <w:ind w:left="3228" w:hanging="360"/>
        <w:tabs>
          <w:tab w:val="num" w:pos="3228" w:leader="none"/>
        </w:tabs>
      </w:pPr>
    </w:lvl>
    <w:lvl w:ilvl="4">
      <w:start w:val="1"/>
      <w:numFmt w:val="lowerLetter"/>
      <w:isLgl w:val="false"/>
      <w:suff w:val="tab"/>
      <w:lvlText w:val="%5."/>
      <w:lvlJc w:val="left"/>
      <w:pPr>
        <w:ind w:left="3948" w:hanging="360"/>
        <w:tabs>
          <w:tab w:val="num" w:pos="3948" w:leader="none"/>
        </w:tabs>
      </w:pPr>
    </w:lvl>
    <w:lvl w:ilvl="5">
      <w:start w:val="1"/>
      <w:numFmt w:val="lowerRoman"/>
      <w:isLgl w:val="false"/>
      <w:suff w:val="tab"/>
      <w:lvlText w:val="%6."/>
      <w:lvlJc w:val="right"/>
      <w:pPr>
        <w:ind w:left="4668" w:hanging="180"/>
        <w:tabs>
          <w:tab w:val="num" w:pos="4668" w:leader="none"/>
        </w:tabs>
      </w:pPr>
    </w:lvl>
    <w:lvl w:ilvl="6">
      <w:start w:val="1"/>
      <w:numFmt w:val="decimal"/>
      <w:isLgl w:val="false"/>
      <w:suff w:val="tab"/>
      <w:lvlText w:val="%7."/>
      <w:lvlJc w:val="left"/>
      <w:pPr>
        <w:ind w:left="5388" w:hanging="360"/>
        <w:tabs>
          <w:tab w:val="num" w:pos="5388" w:leader="none"/>
        </w:tabs>
      </w:pPr>
    </w:lvl>
    <w:lvl w:ilvl="7">
      <w:start w:val="1"/>
      <w:numFmt w:val="lowerLetter"/>
      <w:isLgl w:val="false"/>
      <w:suff w:val="tab"/>
      <w:lvlText w:val="%8."/>
      <w:lvlJc w:val="left"/>
      <w:pPr>
        <w:ind w:left="6108" w:hanging="360"/>
        <w:tabs>
          <w:tab w:val="num" w:pos="6108" w:leader="none"/>
        </w:tabs>
      </w:pPr>
    </w:lvl>
    <w:lvl w:ilvl="8">
      <w:start w:val="1"/>
      <w:numFmt w:val="lowerRoman"/>
      <w:isLgl w:val="false"/>
      <w:suff w:val="tab"/>
      <w:lvlText w:val="%9."/>
      <w:lvlJc w:val="right"/>
      <w:pPr>
        <w:ind w:left="6828" w:hanging="180"/>
        <w:tabs>
          <w:tab w:val="num" w:pos="6828" w:leader="none"/>
        </w:tabs>
      </w:pPr>
    </w:lvl>
  </w:abstractNum>
  <w:abstractNum w:abstractNumId="7">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8">
    <w:multiLevelType w:val="hybridMultilevel"/>
    <w:lvl w:ilvl="0">
      <w:start w:val="1"/>
      <w:numFmt w:val="decimal"/>
      <w:isLgl w:val="false"/>
      <w:suff w:val="tab"/>
      <w:lvlText w:val="%1."/>
      <w:lvlJc w:val="left"/>
      <w:pPr>
        <w:ind w:left="360" w:hanging="360"/>
      </w:pPr>
      <w:rPr>
        <w:rFonts w:ascii="Times New Roman" w:hAnsi="Times New Roman" w:eastAsia="Times New Roman" w:cs="Times New Roman"/>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0">
    <w:multiLevelType w:val="hybridMultilevel"/>
    <w:lvl w:ilvl="0">
      <w:start w:val="1"/>
      <w:numFmt w:val="decimal"/>
      <w:isLgl w:val="false"/>
      <w:suff w:val="tab"/>
      <w:lvlText w:val="%1."/>
      <w:lvlJc w:val="left"/>
      <w:pPr>
        <w:ind w:left="765" w:hanging="405"/>
        <w:tabs>
          <w:tab w:val="num" w:pos="765" w:leader="none"/>
        </w:tabs>
      </w:p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1">
    <w:multiLevelType w:val="hybridMultilevel"/>
    <w:lvl w:ilvl="0">
      <w:start w:val="4"/>
      <w:numFmt w:val="decimal"/>
      <w:isLgl w:val="false"/>
      <w:suff w:val="tab"/>
      <w:lvlText w:val="%1."/>
      <w:lvlJc w:val="left"/>
      <w:pPr>
        <w:ind w:left="450" w:hanging="450"/>
      </w:pPr>
      <w:rPr>
        <w:rFonts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cs="Times New Roman"/>
        <w:b w:val="0"/>
      </w:rPr>
    </w:lvl>
    <w:lvl w:ilvl="3">
      <w:start w:val="1"/>
      <w:numFmt w:val="decimal"/>
      <w:isLgl w:val="false"/>
      <w:suff w:val="tab"/>
      <w:lvlText w:val="%1.%2.%3.%4."/>
      <w:lvlJc w:val="left"/>
      <w:pPr>
        <w:ind w:left="1080" w:hanging="1080"/>
      </w:pPr>
      <w:rPr>
        <w:rFonts w:cs="Times New Roman"/>
        <w:color w:val="000000"/>
      </w:rPr>
    </w:lvl>
    <w:lvl w:ilvl="4">
      <w:start w:val="1"/>
      <w:numFmt w:val="decimal"/>
      <w:isLgl w:val="false"/>
      <w:suff w:val="tab"/>
      <w:lvlText w:val="%1.%2.%3.%4.%5."/>
      <w:lvlJc w:val="left"/>
      <w:pPr>
        <w:ind w:left="1080" w:hanging="1080"/>
      </w:pPr>
      <w:rPr>
        <w:rFonts w:cs="Times New Roman"/>
      </w:rPr>
    </w:lvl>
    <w:lvl w:ilvl="5">
      <w:start w:val="1"/>
      <w:numFmt w:val="decimal"/>
      <w:isLgl w:val="false"/>
      <w:suff w:val="tab"/>
      <w:lvlText w:val="%1.%2.%3.%4.%5.%6."/>
      <w:lvlJc w:val="left"/>
      <w:pPr>
        <w:ind w:left="1440" w:hanging="1440"/>
      </w:pPr>
      <w:rPr>
        <w:rFonts w:cs="Times New Roman"/>
      </w:rPr>
    </w:lvl>
    <w:lvl w:ilvl="6">
      <w:start w:val="1"/>
      <w:numFmt w:val="decimal"/>
      <w:isLgl w:val="false"/>
      <w:suff w:val="tab"/>
      <w:lvlText w:val="%1.%2.%3.%4.%5.%6.%7."/>
      <w:lvlJc w:val="left"/>
      <w:pPr>
        <w:ind w:left="1800" w:hanging="1800"/>
      </w:pPr>
      <w:rPr>
        <w:rFonts w:cs="Times New Roman"/>
      </w:rPr>
    </w:lvl>
    <w:lvl w:ilvl="7">
      <w:start w:val="1"/>
      <w:numFmt w:val="decimal"/>
      <w:isLgl w:val="false"/>
      <w:suff w:val="tab"/>
      <w:lvlText w:val="%1.%2.%3.%4.%5.%6.%7.%8."/>
      <w:lvlJc w:val="left"/>
      <w:pPr>
        <w:ind w:left="1800" w:hanging="1800"/>
      </w:pPr>
      <w:rPr>
        <w:rFonts w:cs="Times New Roman"/>
      </w:rPr>
    </w:lvl>
    <w:lvl w:ilvl="8">
      <w:start w:val="1"/>
      <w:numFmt w:val="decimal"/>
      <w:isLgl w:val="false"/>
      <w:suff w:val="tab"/>
      <w:lvlText w:val="%1.%2.%3.%4.%5.%6.%7.%8.%9."/>
      <w:lvlJc w:val="left"/>
      <w:pPr>
        <w:ind w:left="2160" w:hanging="2160"/>
      </w:pPr>
      <w:rPr>
        <w:rFonts w:cs="Times New Roman"/>
      </w:rPr>
    </w:lvl>
  </w:abstractNum>
  <w:abstractNum w:abstractNumId="12">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ascii="Courier New" w:hAnsi="Courier New" w:cs="Courier New"/>
      </w:rPr>
    </w:lvl>
    <w:lvl w:ilvl="2">
      <w:start w:val="1"/>
      <w:numFmt w:val="bullet"/>
      <w:isLgl w:val="false"/>
      <w:suff w:val="tab"/>
      <w:lvlText w:val=""/>
      <w:lvlJc w:val="left"/>
      <w:pPr>
        <w:ind w:left="2160" w:hanging="360"/>
      </w:pPr>
      <w:rPr>
        <w:rFonts w:ascii="Wingdings" w:hAnsi="Wingdings"/>
      </w:rPr>
    </w:lvl>
    <w:lvl w:ilvl="3">
      <w:start w:val="1"/>
      <w:numFmt w:val="bullet"/>
      <w:isLgl w:val="false"/>
      <w:suff w:val="tab"/>
      <w:lvlText w:val=""/>
      <w:lvlJc w:val="left"/>
      <w:pPr>
        <w:ind w:left="2880" w:hanging="360"/>
      </w:pPr>
      <w:rPr>
        <w:rFonts w:ascii="Symbol" w:hAnsi="Symbol"/>
      </w:rPr>
    </w:lvl>
    <w:lvl w:ilvl="4">
      <w:start w:val="1"/>
      <w:numFmt w:val="bullet"/>
      <w:isLgl w:val="false"/>
      <w:suff w:val="tab"/>
      <w:lvlText w:val="o"/>
      <w:lvlJc w:val="left"/>
      <w:pPr>
        <w:ind w:left="3600" w:hanging="360"/>
      </w:pPr>
      <w:rPr>
        <w:rFonts w:ascii="Courier New" w:hAnsi="Courier New" w:cs="Courier New"/>
      </w:rPr>
    </w:lvl>
    <w:lvl w:ilvl="5">
      <w:start w:val="1"/>
      <w:numFmt w:val="bullet"/>
      <w:isLgl w:val="false"/>
      <w:suff w:val="tab"/>
      <w:lvlText w:val=""/>
      <w:lvlJc w:val="left"/>
      <w:pPr>
        <w:ind w:left="4320" w:hanging="360"/>
      </w:pPr>
      <w:rPr>
        <w:rFonts w:ascii="Wingdings" w:hAnsi="Wingdings"/>
      </w:rPr>
    </w:lvl>
    <w:lvl w:ilvl="6">
      <w:start w:val="1"/>
      <w:numFmt w:val="bullet"/>
      <w:isLgl w:val="false"/>
      <w:suff w:val="tab"/>
      <w:lvlText w:val=""/>
      <w:lvlJc w:val="left"/>
      <w:pPr>
        <w:ind w:left="5040" w:hanging="360"/>
      </w:pPr>
      <w:rPr>
        <w:rFonts w:ascii="Symbol" w:hAnsi="Symbol"/>
      </w:rPr>
    </w:lvl>
    <w:lvl w:ilvl="7">
      <w:start w:val="1"/>
      <w:numFmt w:val="bullet"/>
      <w:isLgl w:val="false"/>
      <w:suff w:val="tab"/>
      <w:lvlText w:val="o"/>
      <w:lvlJc w:val="left"/>
      <w:pPr>
        <w:ind w:left="5760" w:hanging="360"/>
      </w:pPr>
      <w:rPr>
        <w:rFonts w:ascii="Courier New" w:hAnsi="Courier New" w:cs="Courier New"/>
      </w:rPr>
    </w:lvl>
    <w:lvl w:ilvl="8">
      <w:start w:val="1"/>
      <w:numFmt w:val="bullet"/>
      <w:isLgl w:val="false"/>
      <w:suff w:val="tab"/>
      <w:lvlText w:val=""/>
      <w:lvlJc w:val="left"/>
      <w:pPr>
        <w:ind w:left="6480" w:hanging="360"/>
      </w:pPr>
      <w:rPr>
        <w:rFonts w:ascii="Wingdings" w:hAnsi="Wingdings"/>
      </w:r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6">
    <w:multiLevelType w:val="hybridMultilevel"/>
    <w:lvl w:ilvl="0">
      <w:start w:val="3"/>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6"/>
  </w:num>
  <w:num w:numId="2">
    <w:abstractNumId w:val="10"/>
  </w:num>
  <w:num w:numId="3">
    <w:abstractNumId w:val="5"/>
  </w:num>
  <w:num w:numId="4">
    <w:abstractNumId w:val="15"/>
  </w:num>
  <w:num w:numId="5">
    <w:abstractNumId w:val="2"/>
  </w:num>
  <w:num w:numId="6">
    <w:abstractNumId w:val="7"/>
  </w:num>
  <w:num w:numId="7">
    <w:abstractNumId w:val="13"/>
  </w:num>
  <w:num w:numId="8">
    <w:abstractNumId w:val="14"/>
  </w:num>
  <w:num w:numId="9">
    <w:abstractNumId w:val="8"/>
  </w:num>
  <w:num w:numId="10">
    <w:abstractNumId w:val="11"/>
  </w:num>
  <w:num w:numId="11">
    <w:abstractNumId w:val="12"/>
  </w:num>
  <w:num w:numId="12">
    <w:abstractNumId w:val="3"/>
  </w:num>
  <w:num w:numId="13">
    <w:abstractNumId w:val="4"/>
  </w:num>
  <w:num w:numId="14">
    <w:abstractNumId w:val="9"/>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93">
    <w:name w:val="Heading 1"/>
    <w:basedOn w:val="871"/>
    <w:next w:val="871"/>
    <w:link w:val="694"/>
    <w:uiPriority w:val="9"/>
    <w:qFormat/>
    <w:pPr>
      <w:keepLines/>
      <w:keepNext/>
      <w:spacing w:before="480" w:after="200"/>
      <w:outlineLvl w:val="0"/>
    </w:pPr>
    <w:rPr>
      <w:rFonts w:ascii="Arial" w:hAnsi="Arial" w:eastAsia="Arial" w:cs="Arial"/>
      <w:sz w:val="40"/>
      <w:szCs w:val="40"/>
    </w:rPr>
  </w:style>
  <w:style w:type="character" w:styleId="694">
    <w:name w:val="Heading 1 Char"/>
    <w:link w:val="693"/>
    <w:uiPriority w:val="9"/>
    <w:rPr>
      <w:rFonts w:ascii="Arial" w:hAnsi="Arial" w:eastAsia="Arial" w:cs="Arial"/>
      <w:sz w:val="40"/>
      <w:szCs w:val="40"/>
    </w:rPr>
  </w:style>
  <w:style w:type="paragraph" w:styleId="695">
    <w:name w:val="Heading 2"/>
    <w:basedOn w:val="871"/>
    <w:next w:val="871"/>
    <w:link w:val="696"/>
    <w:uiPriority w:val="9"/>
    <w:unhideWhenUsed/>
    <w:qFormat/>
    <w:pPr>
      <w:keepLines/>
      <w:keepNext/>
      <w:spacing w:before="360" w:after="200"/>
      <w:outlineLvl w:val="1"/>
    </w:pPr>
    <w:rPr>
      <w:rFonts w:ascii="Arial" w:hAnsi="Arial" w:eastAsia="Arial" w:cs="Arial"/>
      <w:sz w:val="34"/>
    </w:rPr>
  </w:style>
  <w:style w:type="character" w:styleId="696">
    <w:name w:val="Heading 2 Char"/>
    <w:link w:val="695"/>
    <w:uiPriority w:val="9"/>
    <w:rPr>
      <w:rFonts w:ascii="Arial" w:hAnsi="Arial" w:eastAsia="Arial" w:cs="Arial"/>
      <w:sz w:val="34"/>
    </w:rPr>
  </w:style>
  <w:style w:type="paragraph" w:styleId="697">
    <w:name w:val="Heading 3"/>
    <w:basedOn w:val="871"/>
    <w:next w:val="871"/>
    <w:link w:val="698"/>
    <w:uiPriority w:val="9"/>
    <w:unhideWhenUsed/>
    <w:qFormat/>
    <w:pPr>
      <w:keepLines/>
      <w:keepNext/>
      <w:spacing w:before="320" w:after="200"/>
      <w:outlineLvl w:val="2"/>
    </w:pPr>
    <w:rPr>
      <w:rFonts w:ascii="Arial" w:hAnsi="Arial" w:eastAsia="Arial" w:cs="Arial"/>
      <w:sz w:val="30"/>
      <w:szCs w:val="30"/>
    </w:rPr>
  </w:style>
  <w:style w:type="character" w:styleId="698">
    <w:name w:val="Heading 3 Char"/>
    <w:link w:val="697"/>
    <w:uiPriority w:val="9"/>
    <w:rPr>
      <w:rFonts w:ascii="Arial" w:hAnsi="Arial" w:eastAsia="Arial" w:cs="Arial"/>
      <w:sz w:val="30"/>
      <w:szCs w:val="30"/>
    </w:rPr>
  </w:style>
  <w:style w:type="paragraph" w:styleId="699">
    <w:name w:val="Heading 4"/>
    <w:basedOn w:val="871"/>
    <w:next w:val="871"/>
    <w:link w:val="700"/>
    <w:uiPriority w:val="9"/>
    <w:unhideWhenUsed/>
    <w:qFormat/>
    <w:pPr>
      <w:keepLines/>
      <w:keepNext/>
      <w:spacing w:before="320" w:after="200"/>
      <w:outlineLvl w:val="3"/>
    </w:pPr>
    <w:rPr>
      <w:rFonts w:ascii="Arial" w:hAnsi="Arial" w:eastAsia="Arial" w:cs="Arial"/>
      <w:b/>
      <w:bCs/>
      <w:sz w:val="26"/>
      <w:szCs w:val="26"/>
    </w:rPr>
  </w:style>
  <w:style w:type="character" w:styleId="700">
    <w:name w:val="Heading 4 Char"/>
    <w:link w:val="699"/>
    <w:uiPriority w:val="9"/>
    <w:rPr>
      <w:rFonts w:ascii="Arial" w:hAnsi="Arial" w:eastAsia="Arial" w:cs="Arial"/>
      <w:b/>
      <w:bCs/>
      <w:sz w:val="26"/>
      <w:szCs w:val="26"/>
    </w:rPr>
  </w:style>
  <w:style w:type="paragraph" w:styleId="701">
    <w:name w:val="Heading 5"/>
    <w:basedOn w:val="871"/>
    <w:next w:val="871"/>
    <w:link w:val="702"/>
    <w:uiPriority w:val="9"/>
    <w:unhideWhenUsed/>
    <w:qFormat/>
    <w:pPr>
      <w:keepLines/>
      <w:keepNext/>
      <w:spacing w:before="320" w:after="200"/>
      <w:outlineLvl w:val="4"/>
    </w:pPr>
    <w:rPr>
      <w:rFonts w:ascii="Arial" w:hAnsi="Arial" w:eastAsia="Arial" w:cs="Arial"/>
      <w:b/>
      <w:bCs/>
      <w:sz w:val="24"/>
      <w:szCs w:val="24"/>
    </w:rPr>
  </w:style>
  <w:style w:type="character" w:styleId="702">
    <w:name w:val="Heading 5 Char"/>
    <w:link w:val="701"/>
    <w:uiPriority w:val="9"/>
    <w:rPr>
      <w:rFonts w:ascii="Arial" w:hAnsi="Arial" w:eastAsia="Arial" w:cs="Arial"/>
      <w:b/>
      <w:bCs/>
      <w:sz w:val="24"/>
      <w:szCs w:val="24"/>
    </w:rPr>
  </w:style>
  <w:style w:type="paragraph" w:styleId="703">
    <w:name w:val="Heading 6"/>
    <w:basedOn w:val="871"/>
    <w:next w:val="871"/>
    <w:link w:val="704"/>
    <w:uiPriority w:val="9"/>
    <w:unhideWhenUsed/>
    <w:qFormat/>
    <w:pPr>
      <w:keepLines/>
      <w:keepNext/>
      <w:spacing w:before="320" w:after="200"/>
      <w:outlineLvl w:val="5"/>
    </w:pPr>
    <w:rPr>
      <w:rFonts w:ascii="Arial" w:hAnsi="Arial" w:eastAsia="Arial" w:cs="Arial"/>
      <w:b/>
      <w:bCs/>
      <w:sz w:val="22"/>
      <w:szCs w:val="22"/>
    </w:rPr>
  </w:style>
  <w:style w:type="character" w:styleId="704">
    <w:name w:val="Heading 6 Char"/>
    <w:link w:val="703"/>
    <w:uiPriority w:val="9"/>
    <w:rPr>
      <w:rFonts w:ascii="Arial" w:hAnsi="Arial" w:eastAsia="Arial" w:cs="Arial"/>
      <w:b/>
      <w:bCs/>
      <w:sz w:val="22"/>
      <w:szCs w:val="22"/>
    </w:rPr>
  </w:style>
  <w:style w:type="paragraph" w:styleId="705">
    <w:name w:val="Heading 7"/>
    <w:basedOn w:val="871"/>
    <w:next w:val="871"/>
    <w:link w:val="706"/>
    <w:uiPriority w:val="9"/>
    <w:unhideWhenUsed/>
    <w:qFormat/>
    <w:pPr>
      <w:keepLines/>
      <w:keepNext/>
      <w:spacing w:before="320" w:after="200"/>
      <w:outlineLvl w:val="6"/>
    </w:pPr>
    <w:rPr>
      <w:rFonts w:ascii="Arial" w:hAnsi="Arial" w:eastAsia="Arial" w:cs="Arial"/>
      <w:b/>
      <w:bCs/>
      <w:i/>
      <w:iCs/>
      <w:sz w:val="22"/>
      <w:szCs w:val="22"/>
    </w:rPr>
  </w:style>
  <w:style w:type="character" w:styleId="706">
    <w:name w:val="Heading 7 Char"/>
    <w:link w:val="705"/>
    <w:uiPriority w:val="9"/>
    <w:rPr>
      <w:rFonts w:ascii="Arial" w:hAnsi="Arial" w:eastAsia="Arial" w:cs="Arial"/>
      <w:b/>
      <w:bCs/>
      <w:i/>
      <w:iCs/>
      <w:sz w:val="22"/>
      <w:szCs w:val="22"/>
    </w:rPr>
  </w:style>
  <w:style w:type="paragraph" w:styleId="707">
    <w:name w:val="Heading 8"/>
    <w:basedOn w:val="871"/>
    <w:next w:val="871"/>
    <w:link w:val="708"/>
    <w:uiPriority w:val="9"/>
    <w:unhideWhenUsed/>
    <w:qFormat/>
    <w:pPr>
      <w:keepLines/>
      <w:keepNext/>
      <w:spacing w:before="320" w:after="200"/>
      <w:outlineLvl w:val="7"/>
    </w:pPr>
    <w:rPr>
      <w:rFonts w:ascii="Arial" w:hAnsi="Arial" w:eastAsia="Arial" w:cs="Arial"/>
      <w:i/>
      <w:iCs/>
      <w:sz w:val="22"/>
      <w:szCs w:val="22"/>
    </w:rPr>
  </w:style>
  <w:style w:type="character" w:styleId="708">
    <w:name w:val="Heading 8 Char"/>
    <w:link w:val="707"/>
    <w:uiPriority w:val="9"/>
    <w:rPr>
      <w:rFonts w:ascii="Arial" w:hAnsi="Arial" w:eastAsia="Arial" w:cs="Arial"/>
      <w:i/>
      <w:iCs/>
      <w:sz w:val="22"/>
      <w:szCs w:val="22"/>
    </w:rPr>
  </w:style>
  <w:style w:type="paragraph" w:styleId="709">
    <w:name w:val="Heading 9"/>
    <w:basedOn w:val="871"/>
    <w:next w:val="871"/>
    <w:link w:val="710"/>
    <w:uiPriority w:val="9"/>
    <w:unhideWhenUsed/>
    <w:qFormat/>
    <w:pPr>
      <w:keepLines/>
      <w:keepNext/>
      <w:spacing w:before="320" w:after="200"/>
      <w:outlineLvl w:val="8"/>
    </w:pPr>
    <w:rPr>
      <w:rFonts w:ascii="Arial" w:hAnsi="Arial" w:eastAsia="Arial" w:cs="Arial"/>
      <w:i/>
      <w:iCs/>
      <w:sz w:val="21"/>
      <w:szCs w:val="21"/>
    </w:rPr>
  </w:style>
  <w:style w:type="character" w:styleId="710">
    <w:name w:val="Heading 9 Char"/>
    <w:link w:val="709"/>
    <w:uiPriority w:val="9"/>
    <w:rPr>
      <w:rFonts w:ascii="Arial" w:hAnsi="Arial" w:eastAsia="Arial" w:cs="Arial"/>
      <w:i/>
      <w:iCs/>
      <w:sz w:val="21"/>
      <w:szCs w:val="21"/>
    </w:rPr>
  </w:style>
  <w:style w:type="paragraph" w:styleId="711">
    <w:name w:val="List Paragraph"/>
    <w:basedOn w:val="871"/>
    <w:uiPriority w:val="34"/>
    <w:qFormat/>
    <w:pPr>
      <w:contextualSpacing/>
      <w:ind w:left="720"/>
    </w:pPr>
  </w:style>
  <w:style w:type="paragraph" w:styleId="712">
    <w:name w:val="No Spacing"/>
    <w:uiPriority w:val="1"/>
    <w:qFormat/>
    <w:pPr>
      <w:spacing w:before="0" w:after="0" w:line="240" w:lineRule="auto"/>
    </w:pPr>
  </w:style>
  <w:style w:type="paragraph" w:styleId="713">
    <w:name w:val="Title"/>
    <w:basedOn w:val="871"/>
    <w:next w:val="871"/>
    <w:link w:val="714"/>
    <w:uiPriority w:val="10"/>
    <w:qFormat/>
    <w:pPr>
      <w:contextualSpacing/>
      <w:spacing w:before="300" w:after="200"/>
    </w:pPr>
    <w:rPr>
      <w:sz w:val="48"/>
      <w:szCs w:val="48"/>
    </w:rPr>
  </w:style>
  <w:style w:type="character" w:styleId="714">
    <w:name w:val="Title Char"/>
    <w:link w:val="713"/>
    <w:uiPriority w:val="10"/>
    <w:rPr>
      <w:sz w:val="48"/>
      <w:szCs w:val="48"/>
    </w:rPr>
  </w:style>
  <w:style w:type="paragraph" w:styleId="715">
    <w:name w:val="Subtitle"/>
    <w:basedOn w:val="871"/>
    <w:next w:val="871"/>
    <w:link w:val="716"/>
    <w:uiPriority w:val="11"/>
    <w:qFormat/>
    <w:pPr>
      <w:spacing w:before="200" w:after="200"/>
    </w:pPr>
    <w:rPr>
      <w:sz w:val="24"/>
      <w:szCs w:val="24"/>
    </w:rPr>
  </w:style>
  <w:style w:type="character" w:styleId="716">
    <w:name w:val="Subtitle Char"/>
    <w:link w:val="715"/>
    <w:uiPriority w:val="11"/>
    <w:rPr>
      <w:sz w:val="24"/>
      <w:szCs w:val="24"/>
    </w:rPr>
  </w:style>
  <w:style w:type="paragraph" w:styleId="717">
    <w:name w:val="Quote"/>
    <w:basedOn w:val="871"/>
    <w:next w:val="871"/>
    <w:link w:val="718"/>
    <w:uiPriority w:val="29"/>
    <w:qFormat/>
    <w:pPr>
      <w:ind w:left="720" w:right="720"/>
    </w:pPr>
    <w:rPr>
      <w:i/>
    </w:rPr>
  </w:style>
  <w:style w:type="character" w:styleId="718">
    <w:name w:val="Quote Char"/>
    <w:link w:val="717"/>
    <w:uiPriority w:val="29"/>
    <w:rPr>
      <w:i/>
    </w:rPr>
  </w:style>
  <w:style w:type="paragraph" w:styleId="719">
    <w:name w:val="Intense Quote"/>
    <w:basedOn w:val="871"/>
    <w:next w:val="871"/>
    <w:link w:val="72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20">
    <w:name w:val="Intense Quote Char"/>
    <w:link w:val="719"/>
    <w:uiPriority w:val="30"/>
    <w:rPr>
      <w:i/>
    </w:rPr>
  </w:style>
  <w:style w:type="paragraph" w:styleId="721">
    <w:name w:val="Header"/>
    <w:basedOn w:val="871"/>
    <w:link w:val="722"/>
    <w:uiPriority w:val="99"/>
    <w:unhideWhenUsed/>
    <w:pPr>
      <w:spacing w:after="0" w:line="240" w:lineRule="auto"/>
      <w:tabs>
        <w:tab w:val="center" w:pos="7143" w:leader="none"/>
        <w:tab w:val="right" w:pos="14287" w:leader="none"/>
      </w:tabs>
    </w:pPr>
  </w:style>
  <w:style w:type="character" w:styleId="722">
    <w:name w:val="Header Char"/>
    <w:link w:val="721"/>
    <w:uiPriority w:val="99"/>
  </w:style>
  <w:style w:type="paragraph" w:styleId="723">
    <w:name w:val="Footer"/>
    <w:basedOn w:val="871"/>
    <w:link w:val="726"/>
    <w:uiPriority w:val="99"/>
    <w:unhideWhenUsed/>
    <w:pPr>
      <w:spacing w:after="0" w:line="240" w:lineRule="auto"/>
      <w:tabs>
        <w:tab w:val="center" w:pos="7143" w:leader="none"/>
        <w:tab w:val="right" w:pos="14287" w:leader="none"/>
      </w:tabs>
    </w:pPr>
  </w:style>
  <w:style w:type="character" w:styleId="724">
    <w:name w:val="Footer Char"/>
    <w:link w:val="723"/>
    <w:uiPriority w:val="99"/>
  </w:style>
  <w:style w:type="paragraph" w:styleId="725">
    <w:name w:val="Caption"/>
    <w:basedOn w:val="871"/>
    <w:next w:val="871"/>
    <w:uiPriority w:val="35"/>
    <w:semiHidden/>
    <w:unhideWhenUsed/>
    <w:qFormat/>
    <w:pPr>
      <w:spacing w:line="276" w:lineRule="auto"/>
    </w:pPr>
    <w:rPr>
      <w:b/>
      <w:bCs/>
      <w:color w:val="4f81bd" w:themeColor="accent1"/>
      <w:sz w:val="18"/>
      <w:szCs w:val="18"/>
    </w:rPr>
  </w:style>
  <w:style w:type="character" w:styleId="726">
    <w:name w:val="Caption Char"/>
    <w:basedOn w:val="725"/>
    <w:link w:val="723"/>
    <w:uiPriority w:val="99"/>
  </w:style>
  <w:style w:type="table" w:styleId="727">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28">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29">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30">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31">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32">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33">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34">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35">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36">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37">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38">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39">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40">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41">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42">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43">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44">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45">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46">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47">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48">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9">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0">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1">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2">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3">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4">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5">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6">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57">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58">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59">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60">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61">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62">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63">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64">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65">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66">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67">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68">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69">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70">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71">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72">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73">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74">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75">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76">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77">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78">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79">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80">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81">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82">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83">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84">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85">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86">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87">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88">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89">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90">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91">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92">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93">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94">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95">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96">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97">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98">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99">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00">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01">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02">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03">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04">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05">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06">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07">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08">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09">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10">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11">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2">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3">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4">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5">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6">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7">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8">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19">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20">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21">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22">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23">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24">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25">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26">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27">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28">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29">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30">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31">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32">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33">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34">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35">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36">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37">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38">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39">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40">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41">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42">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43">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44">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45">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46">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47">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48">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49">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50">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51">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52">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53">
    <w:name w:val="Hyperlink"/>
    <w:uiPriority w:val="99"/>
    <w:unhideWhenUsed/>
    <w:rPr>
      <w:color w:val="0000ff" w:themeColor="hyperlink"/>
      <w:u w:val="single"/>
    </w:rPr>
  </w:style>
  <w:style w:type="paragraph" w:styleId="854">
    <w:name w:val="footnote text"/>
    <w:basedOn w:val="871"/>
    <w:link w:val="855"/>
    <w:uiPriority w:val="99"/>
    <w:semiHidden/>
    <w:unhideWhenUsed/>
    <w:pPr>
      <w:spacing w:after="40" w:line="240" w:lineRule="auto"/>
    </w:pPr>
    <w:rPr>
      <w:sz w:val="18"/>
    </w:rPr>
  </w:style>
  <w:style w:type="character" w:styleId="855">
    <w:name w:val="Footnote Text Char"/>
    <w:link w:val="854"/>
    <w:uiPriority w:val="99"/>
    <w:rPr>
      <w:sz w:val="18"/>
    </w:rPr>
  </w:style>
  <w:style w:type="character" w:styleId="856">
    <w:name w:val="footnote reference"/>
    <w:uiPriority w:val="99"/>
    <w:unhideWhenUsed/>
    <w:rPr>
      <w:vertAlign w:val="superscript"/>
    </w:rPr>
  </w:style>
  <w:style w:type="paragraph" w:styleId="857">
    <w:name w:val="endnote text"/>
    <w:basedOn w:val="871"/>
    <w:link w:val="858"/>
    <w:uiPriority w:val="99"/>
    <w:semiHidden/>
    <w:unhideWhenUsed/>
    <w:pPr>
      <w:spacing w:after="0" w:line="240" w:lineRule="auto"/>
    </w:pPr>
    <w:rPr>
      <w:sz w:val="20"/>
    </w:rPr>
  </w:style>
  <w:style w:type="character" w:styleId="858">
    <w:name w:val="Endnote Text Char"/>
    <w:link w:val="857"/>
    <w:uiPriority w:val="99"/>
    <w:rPr>
      <w:sz w:val="20"/>
    </w:rPr>
  </w:style>
  <w:style w:type="character" w:styleId="859">
    <w:name w:val="endnote reference"/>
    <w:uiPriority w:val="99"/>
    <w:semiHidden/>
    <w:unhideWhenUsed/>
    <w:rPr>
      <w:vertAlign w:val="superscript"/>
    </w:rPr>
  </w:style>
  <w:style w:type="paragraph" w:styleId="860">
    <w:name w:val="toc 1"/>
    <w:basedOn w:val="871"/>
    <w:next w:val="871"/>
    <w:uiPriority w:val="39"/>
    <w:unhideWhenUsed/>
    <w:pPr>
      <w:ind w:left="0" w:right="0" w:firstLine="0"/>
      <w:spacing w:after="57"/>
    </w:pPr>
  </w:style>
  <w:style w:type="paragraph" w:styleId="861">
    <w:name w:val="toc 2"/>
    <w:basedOn w:val="871"/>
    <w:next w:val="871"/>
    <w:uiPriority w:val="39"/>
    <w:unhideWhenUsed/>
    <w:pPr>
      <w:ind w:left="283" w:right="0" w:firstLine="0"/>
      <w:spacing w:after="57"/>
    </w:pPr>
  </w:style>
  <w:style w:type="paragraph" w:styleId="862">
    <w:name w:val="toc 3"/>
    <w:basedOn w:val="871"/>
    <w:next w:val="871"/>
    <w:uiPriority w:val="39"/>
    <w:unhideWhenUsed/>
    <w:pPr>
      <w:ind w:left="567" w:right="0" w:firstLine="0"/>
      <w:spacing w:after="57"/>
    </w:pPr>
  </w:style>
  <w:style w:type="paragraph" w:styleId="863">
    <w:name w:val="toc 4"/>
    <w:basedOn w:val="871"/>
    <w:next w:val="871"/>
    <w:uiPriority w:val="39"/>
    <w:unhideWhenUsed/>
    <w:pPr>
      <w:ind w:left="850" w:right="0" w:firstLine="0"/>
      <w:spacing w:after="57"/>
    </w:pPr>
  </w:style>
  <w:style w:type="paragraph" w:styleId="864">
    <w:name w:val="toc 5"/>
    <w:basedOn w:val="871"/>
    <w:next w:val="871"/>
    <w:uiPriority w:val="39"/>
    <w:unhideWhenUsed/>
    <w:pPr>
      <w:ind w:left="1134" w:right="0" w:firstLine="0"/>
      <w:spacing w:after="57"/>
    </w:pPr>
  </w:style>
  <w:style w:type="paragraph" w:styleId="865">
    <w:name w:val="toc 6"/>
    <w:basedOn w:val="871"/>
    <w:next w:val="871"/>
    <w:uiPriority w:val="39"/>
    <w:unhideWhenUsed/>
    <w:pPr>
      <w:ind w:left="1417" w:right="0" w:firstLine="0"/>
      <w:spacing w:after="57"/>
    </w:pPr>
  </w:style>
  <w:style w:type="paragraph" w:styleId="866">
    <w:name w:val="toc 7"/>
    <w:basedOn w:val="871"/>
    <w:next w:val="871"/>
    <w:uiPriority w:val="39"/>
    <w:unhideWhenUsed/>
    <w:pPr>
      <w:ind w:left="1701" w:right="0" w:firstLine="0"/>
      <w:spacing w:after="57"/>
    </w:pPr>
  </w:style>
  <w:style w:type="paragraph" w:styleId="867">
    <w:name w:val="toc 8"/>
    <w:basedOn w:val="871"/>
    <w:next w:val="871"/>
    <w:uiPriority w:val="39"/>
    <w:unhideWhenUsed/>
    <w:pPr>
      <w:ind w:left="1984" w:right="0" w:firstLine="0"/>
      <w:spacing w:after="57"/>
    </w:pPr>
  </w:style>
  <w:style w:type="paragraph" w:styleId="868">
    <w:name w:val="toc 9"/>
    <w:basedOn w:val="871"/>
    <w:next w:val="871"/>
    <w:uiPriority w:val="39"/>
    <w:unhideWhenUsed/>
    <w:pPr>
      <w:ind w:left="2268" w:right="0" w:firstLine="0"/>
      <w:spacing w:after="57"/>
    </w:pPr>
  </w:style>
  <w:style w:type="paragraph" w:styleId="869">
    <w:name w:val="TOC Heading"/>
    <w:uiPriority w:val="39"/>
    <w:unhideWhenUsed/>
  </w:style>
  <w:style w:type="paragraph" w:styleId="870">
    <w:name w:val="table of figures"/>
    <w:basedOn w:val="871"/>
    <w:next w:val="871"/>
    <w:uiPriority w:val="99"/>
    <w:unhideWhenUsed/>
    <w:pPr>
      <w:spacing w:after="0" w:afterAutospacing="0"/>
    </w:pPr>
  </w:style>
  <w:style w:type="paragraph" w:styleId="871" w:default="1">
    <w:name w:val="Normal"/>
    <w:next w:val="871"/>
    <w:link w:val="871"/>
    <w:qFormat/>
    <w:rPr>
      <w:rFonts w:ascii="HeliosCond" w:hAnsi="HeliosCond" w:cs="Arial"/>
      <w:sz w:val="24"/>
      <w:szCs w:val="24"/>
      <w:lang w:val="ru-RU" w:eastAsia="ru-RU" w:bidi="ar-SA"/>
    </w:rPr>
  </w:style>
  <w:style w:type="paragraph" w:styleId="872">
    <w:name w:val="Заголовок 1"/>
    <w:basedOn w:val="871"/>
    <w:next w:val="871"/>
    <w:link w:val="871"/>
    <w:qFormat/>
    <w:pPr>
      <w:jc w:val="center"/>
      <w:spacing w:before="108" w:after="108"/>
      <w:widowControl w:val="off"/>
      <w:outlineLvl w:val="0"/>
    </w:pPr>
    <w:rPr>
      <w:rFonts w:ascii="Arial" w:hAnsi="Arial" w:cs="Times New Roman"/>
      <w:b/>
      <w:bCs/>
      <w:color w:val="000080"/>
      <w:sz w:val="20"/>
      <w:szCs w:val="20"/>
    </w:rPr>
  </w:style>
  <w:style w:type="character" w:styleId="873">
    <w:name w:val="Основной шрифт абзаца"/>
    <w:next w:val="873"/>
    <w:link w:val="871"/>
    <w:uiPriority w:val="1"/>
    <w:unhideWhenUsed/>
  </w:style>
  <w:style w:type="table" w:styleId="874">
    <w:name w:val="Обычная таблица"/>
    <w:next w:val="874"/>
    <w:link w:val="871"/>
    <w:uiPriority w:val="99"/>
    <w:semiHidden/>
    <w:unhideWhenUsed/>
    <w:qFormat/>
    <w:tblPr/>
  </w:style>
  <w:style w:type="numbering" w:styleId="875">
    <w:name w:val="Нет списка"/>
    <w:next w:val="875"/>
    <w:link w:val="871"/>
    <w:uiPriority w:val="99"/>
    <w:semiHidden/>
    <w:unhideWhenUsed/>
  </w:style>
  <w:style w:type="character" w:styleId="876">
    <w:name w:val="Гиперссылка"/>
    <w:next w:val="876"/>
    <w:link w:val="871"/>
    <w:uiPriority w:val="99"/>
    <w:rPr>
      <w:color w:val="0000ff"/>
      <w:u w:val="single"/>
    </w:rPr>
  </w:style>
  <w:style w:type="paragraph" w:styleId="877">
    <w:name w:val="Текст выноски"/>
    <w:basedOn w:val="871"/>
    <w:next w:val="877"/>
    <w:link w:val="871"/>
    <w:semiHidden/>
    <w:rPr>
      <w:rFonts w:ascii="Tahoma" w:hAnsi="Tahoma" w:cs="Tahoma"/>
      <w:sz w:val="16"/>
      <w:szCs w:val="16"/>
    </w:rPr>
  </w:style>
  <w:style w:type="paragraph" w:styleId="878">
    <w:name w:val="Абзац списка"/>
    <w:basedOn w:val="871"/>
    <w:next w:val="878"/>
    <w:link w:val="871"/>
    <w:uiPriority w:val="34"/>
    <w:qFormat/>
    <w:pPr>
      <w:contextualSpacing/>
      <w:ind w:left="720"/>
    </w:pPr>
  </w:style>
  <w:style w:type="table" w:styleId="879">
    <w:name w:val="Сетка таблицы"/>
    <w:basedOn w:val="874"/>
    <w:next w:val="879"/>
    <w:link w:val="871"/>
    <w:tblPr/>
  </w:style>
  <w:style w:type="paragraph" w:styleId="880">
    <w:name w:val="Обычный (веб)"/>
    <w:basedOn w:val="871"/>
    <w:next w:val="880"/>
    <w:link w:val="871"/>
    <w:pPr>
      <w:jc w:val="both"/>
      <w:spacing w:before="100" w:beforeAutospacing="1" w:after="100" w:afterAutospacing="1"/>
    </w:pPr>
    <w:rPr>
      <w:rFonts w:ascii="Times New Roman" w:hAnsi="Times New Roman" w:cs="Times New Roman"/>
      <w:color w:val="000000"/>
    </w:rPr>
  </w:style>
  <w:style w:type="paragraph" w:styleId="881">
    <w:name w:val="Style3"/>
    <w:basedOn w:val="871"/>
    <w:next w:val="881"/>
    <w:link w:val="871"/>
    <w:pPr>
      <w:widowControl w:val="off"/>
    </w:pPr>
    <w:rPr>
      <w:rFonts w:ascii="Arial Narrow" w:hAnsi="Arial Narrow" w:cs="Times New Roman"/>
      <w:lang w:eastAsia="ar-SA"/>
    </w:rPr>
  </w:style>
  <w:style w:type="character" w:styleId="882">
    <w:name w:val="_rpc_411"/>
    <w:next w:val="882"/>
    <w:link w:val="871"/>
  </w:style>
  <w:style w:type="character" w:styleId="883">
    <w:name w:val="rvts48223"/>
    <w:next w:val="883"/>
    <w:link w:val="871"/>
    <w:rPr>
      <w:rFonts w:ascii="Arial" w:hAnsi="Arial" w:cs="Arial"/>
      <w:b/>
      <w:bCs/>
      <w:color w:val="1d5da2"/>
      <w:sz w:val="20"/>
      <w:szCs w:val="20"/>
      <w:u w:val="none"/>
    </w:rPr>
  </w:style>
  <w:style w:type="paragraph" w:styleId="884">
    <w:name w:val="Default"/>
    <w:next w:val="884"/>
    <w:link w:val="871"/>
    <w:rPr>
      <w:rFonts w:eastAsia="Calibri"/>
      <w:color w:val="000000"/>
      <w:sz w:val="24"/>
      <w:szCs w:val="24"/>
      <w:lang w:val="ru-RU" w:eastAsia="ru-RU" w:bidi="ar-SA"/>
    </w:rPr>
  </w:style>
  <w:style w:type="paragraph" w:styleId="885">
    <w:name w:val="Без интервала"/>
    <w:next w:val="885"/>
    <w:link w:val="886"/>
    <w:uiPriority w:val="1"/>
    <w:qFormat/>
    <w:rPr>
      <w:rFonts w:ascii="Calibri" w:hAnsi="Calibri"/>
      <w:sz w:val="22"/>
      <w:szCs w:val="22"/>
      <w:lang w:val="ru-RU" w:eastAsia="en-US" w:bidi="ar-SA"/>
    </w:rPr>
  </w:style>
  <w:style w:type="character" w:styleId="886">
    <w:name w:val="Без интервала Знак"/>
    <w:next w:val="886"/>
    <w:link w:val="885"/>
    <w:uiPriority w:val="1"/>
    <w:rPr>
      <w:rFonts w:ascii="Calibri" w:hAnsi="Calibri"/>
      <w:sz w:val="22"/>
      <w:szCs w:val="22"/>
      <w:lang w:eastAsia="en-US"/>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Р7-Офис/7.4.0.351</Application>
  <Company>TTG</Company>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wks509</dc:creator>
  <cp:revision>71</cp:revision>
  <dcterms:created xsi:type="dcterms:W3CDTF">2018-09-24T06:12:00Z</dcterms:created>
  <dcterms:modified xsi:type="dcterms:W3CDTF">2024-05-30T06:32:01Z</dcterms:modified>
  <cp:version>983040</cp:version>
</cp:coreProperties>
</file>