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9F9BC" w14:textId="4058F38E" w:rsidR="002879B1" w:rsidRDefault="002879B1" w:rsidP="002879B1">
      <w:pPr>
        <w:spacing w:after="0"/>
        <w:jc w:val="center"/>
        <w:rPr>
          <w:rFonts w:ascii="Times New Roman" w:hAnsi="Times New Roman" w:cs="Times New Roman"/>
          <w:b/>
          <w:sz w:val="24"/>
          <w:szCs w:val="24"/>
        </w:rPr>
      </w:pPr>
      <w:r w:rsidRPr="00DA4ED8">
        <w:rPr>
          <w:noProof/>
          <w:sz w:val="24"/>
          <w:szCs w:val="24"/>
        </w:rPr>
        <w:drawing>
          <wp:inline distT="0" distB="0" distL="0" distR="0" wp14:anchorId="2F84576B" wp14:editId="5B530476">
            <wp:extent cx="5133975" cy="342247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2299" cy="3474688"/>
                    </a:xfrm>
                    <a:prstGeom prst="rect">
                      <a:avLst/>
                    </a:prstGeom>
                    <a:noFill/>
                    <a:ln>
                      <a:noFill/>
                    </a:ln>
                  </pic:spPr>
                </pic:pic>
              </a:graphicData>
            </a:graphic>
          </wp:inline>
        </w:drawing>
      </w:r>
    </w:p>
    <w:p w14:paraId="33861BE6" w14:textId="77777777" w:rsidR="002879B1" w:rsidRDefault="002879B1" w:rsidP="0062311B">
      <w:pPr>
        <w:spacing w:after="0"/>
        <w:ind w:firstLine="709"/>
        <w:jc w:val="center"/>
        <w:rPr>
          <w:rFonts w:ascii="Times New Roman" w:hAnsi="Times New Roman" w:cs="Times New Roman"/>
          <w:b/>
          <w:sz w:val="24"/>
          <w:szCs w:val="24"/>
        </w:rPr>
      </w:pPr>
    </w:p>
    <w:p w14:paraId="0B0BE425" w14:textId="725EA252" w:rsidR="004C3A2F" w:rsidRPr="0046763F" w:rsidRDefault="0062311B" w:rsidP="0062311B">
      <w:pPr>
        <w:spacing w:after="0"/>
        <w:ind w:firstLine="709"/>
        <w:jc w:val="center"/>
        <w:rPr>
          <w:rFonts w:ascii="Times New Roman" w:hAnsi="Times New Roman" w:cs="Times New Roman"/>
          <w:b/>
          <w:sz w:val="28"/>
          <w:szCs w:val="28"/>
        </w:rPr>
      </w:pPr>
      <w:r w:rsidRPr="0046763F">
        <w:rPr>
          <w:rFonts w:ascii="Times New Roman" w:hAnsi="Times New Roman" w:cs="Times New Roman"/>
          <w:b/>
          <w:sz w:val="28"/>
          <w:szCs w:val="28"/>
        </w:rPr>
        <w:t>Правила рыболовства на водоемах Югры в зимний период.</w:t>
      </w:r>
    </w:p>
    <w:p w14:paraId="623C250C" w14:textId="77777777" w:rsidR="00033C41" w:rsidRPr="0046763F" w:rsidRDefault="00033C41" w:rsidP="00EE55C5">
      <w:pPr>
        <w:spacing w:after="0" w:line="240" w:lineRule="auto"/>
        <w:ind w:firstLine="709"/>
        <w:jc w:val="both"/>
        <w:rPr>
          <w:rFonts w:ascii="Times New Roman" w:hAnsi="Times New Roman" w:cs="Times New Roman"/>
          <w:sz w:val="28"/>
          <w:szCs w:val="28"/>
        </w:rPr>
      </w:pPr>
    </w:p>
    <w:p w14:paraId="386633BF" w14:textId="3C080F70" w:rsidR="00E70DC2" w:rsidRPr="0046763F" w:rsidRDefault="0062311B" w:rsidP="00B1199B">
      <w:pPr>
        <w:spacing w:after="0"/>
        <w:ind w:firstLine="709"/>
        <w:jc w:val="both"/>
        <w:rPr>
          <w:rFonts w:ascii="Times New Roman" w:hAnsi="Times New Roman" w:cs="Times New Roman"/>
          <w:sz w:val="28"/>
          <w:szCs w:val="28"/>
        </w:rPr>
      </w:pPr>
      <w:r w:rsidRPr="0046763F">
        <w:rPr>
          <w:rFonts w:ascii="Times New Roman" w:eastAsia="Times New Roman" w:hAnsi="Times New Roman" w:cs="Times New Roman"/>
          <w:color w:val="000000"/>
          <w:sz w:val="28"/>
          <w:szCs w:val="28"/>
          <w:lang w:eastAsia="ru-RU"/>
        </w:rPr>
        <w:t>Отдел госконтроля по ХМАО-Югре Нижнеобского ТУ</w:t>
      </w:r>
      <w:r w:rsidR="00E70DC2" w:rsidRPr="0046763F">
        <w:rPr>
          <w:rFonts w:ascii="Times New Roman" w:eastAsia="Times New Roman" w:hAnsi="Times New Roman" w:cs="Times New Roman"/>
          <w:color w:val="000000"/>
          <w:sz w:val="28"/>
          <w:szCs w:val="28"/>
          <w:lang w:eastAsia="ru-RU"/>
        </w:rPr>
        <w:t xml:space="preserve"> </w:t>
      </w:r>
      <w:r w:rsidR="00E70DC2" w:rsidRPr="0046763F">
        <w:rPr>
          <w:rFonts w:ascii="Times New Roman" w:eastAsia="Times New Roman" w:hAnsi="Times New Roman" w:cs="Times New Roman"/>
          <w:color w:val="000000"/>
          <w:sz w:val="28"/>
          <w:szCs w:val="28"/>
        </w:rPr>
        <w:t>Росрыболовства</w:t>
      </w:r>
      <w:r w:rsidR="00E70DC2" w:rsidRPr="0046763F">
        <w:rPr>
          <w:rFonts w:ascii="Times New Roman" w:eastAsia="Times New Roman" w:hAnsi="Times New Roman" w:cs="Times New Roman"/>
          <w:color w:val="000000"/>
          <w:sz w:val="28"/>
          <w:szCs w:val="28"/>
          <w:lang w:eastAsia="ru-RU"/>
        </w:rPr>
        <w:t xml:space="preserve"> напоминает о необходимости соблюдения Правилами рыболовства для Западно-Сибирского рыбохозяйственного бассейна, утвержденными приказом Минсельхоза России от </w:t>
      </w:r>
      <w:r w:rsidR="00E70DC2" w:rsidRPr="0046763F">
        <w:rPr>
          <w:rFonts w:ascii="Times New Roman" w:hAnsi="Times New Roman" w:cs="Times New Roman"/>
          <w:sz w:val="28"/>
          <w:szCs w:val="28"/>
        </w:rPr>
        <w:t>30.10. 2020 г. №646</w:t>
      </w:r>
      <w:r w:rsidR="004D6084" w:rsidRPr="0046763F">
        <w:rPr>
          <w:rFonts w:ascii="Times New Roman" w:hAnsi="Times New Roman" w:cs="Times New Roman"/>
          <w:sz w:val="28"/>
          <w:szCs w:val="28"/>
        </w:rPr>
        <w:t xml:space="preserve"> (далее-Правила</w:t>
      </w:r>
      <w:r w:rsidR="007B255C" w:rsidRPr="0046763F">
        <w:rPr>
          <w:rFonts w:ascii="Times New Roman" w:hAnsi="Times New Roman" w:cs="Times New Roman"/>
          <w:sz w:val="28"/>
          <w:szCs w:val="28"/>
        </w:rPr>
        <w:t xml:space="preserve"> рыболовства</w:t>
      </w:r>
      <w:r w:rsidR="004D6084" w:rsidRPr="0046763F">
        <w:rPr>
          <w:rFonts w:ascii="Times New Roman" w:hAnsi="Times New Roman" w:cs="Times New Roman"/>
          <w:sz w:val="28"/>
          <w:szCs w:val="28"/>
        </w:rPr>
        <w:t>) при осуществлении зимнего вылова рыбаками - любителями</w:t>
      </w:r>
      <w:r w:rsidR="004A1460" w:rsidRPr="0046763F">
        <w:rPr>
          <w:rFonts w:ascii="Times New Roman" w:hAnsi="Times New Roman" w:cs="Times New Roman"/>
          <w:sz w:val="28"/>
          <w:szCs w:val="28"/>
        </w:rPr>
        <w:t>.</w:t>
      </w:r>
    </w:p>
    <w:p w14:paraId="43DBFFED" w14:textId="77777777" w:rsidR="006539D8" w:rsidRPr="0046763F" w:rsidRDefault="006539D8"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В зимний период времени года запрещается добыча (вылов) водных биоресурсов любыми орудиями добычи (вылова), за исключением:</w:t>
      </w:r>
    </w:p>
    <w:p w14:paraId="69F60342" w14:textId="77777777" w:rsidR="006539D8" w:rsidRPr="0046763F" w:rsidRDefault="006539D8"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bookmarkStart w:id="0" w:name="Par1644"/>
      <w:bookmarkEnd w:id="0"/>
      <w:r w:rsidRPr="0046763F">
        <w:rPr>
          <w:rFonts w:ascii="Times New Roman" w:eastAsiaTheme="minorEastAsia" w:hAnsi="Times New Roman" w:cs="Times New Roman"/>
          <w:sz w:val="28"/>
          <w:szCs w:val="28"/>
          <w:lang w:eastAsia="ru-RU"/>
        </w:rPr>
        <w:t>на водных объектах рыбохозяйственного значения общего пользования:</w:t>
      </w:r>
    </w:p>
    <w:p w14:paraId="1DE7E4DA"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зимними удочками всех модификаций с общим количеством крючков (одинарных, двойников или тройников, далее - крючков), в том числе крючков на блеснах не более 10 штук на орудиях добычи (вылова) у одного гражданина;</w:t>
      </w:r>
    </w:p>
    <w:p w14:paraId="64434BEC"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жерлицами общим количеством не более 10 штук у одного гражданина;</w:t>
      </w:r>
    </w:p>
    <w:p w14:paraId="04C47694"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переметами с общим количеством крючков не более 10 штук на орудиях добычи (вылова) у одного гражданина;</w:t>
      </w:r>
    </w:p>
    <w:p w14:paraId="0005B714"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мелкоячеистыми бреднями (для добычи (вылова) живца) длиной не более 3 м, с размером (шагом) ячеи не более 15 мм;</w:t>
      </w:r>
    </w:p>
    <w:p w14:paraId="764D2D4A"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35.1.2. на водных объектах рыбохозяйственного значения, за пределами рыбоводных и рыболовных участков, наряду с перечисленными выше орудиями добычи (вылова) допускается применение на одного гражданина следующих сетных орудий лова:</w:t>
      </w:r>
    </w:p>
    <w:p w14:paraId="3B944EB6"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одной ставной сети длиной не более 30 м, с размером (шагом) ячеи, указанным в пункте 20.4 Правил рыболовства, за исключением озер Домашнее, </w:t>
      </w:r>
      <w:proofErr w:type="spellStart"/>
      <w:r w:rsidRPr="0046763F">
        <w:rPr>
          <w:rFonts w:ascii="Times New Roman" w:eastAsiaTheme="minorEastAsia" w:hAnsi="Times New Roman" w:cs="Times New Roman"/>
          <w:sz w:val="28"/>
          <w:szCs w:val="28"/>
          <w:lang w:eastAsia="ru-RU"/>
        </w:rPr>
        <w:t>Лахсентур</w:t>
      </w:r>
      <w:proofErr w:type="spellEnd"/>
      <w:r w:rsidRPr="0046763F">
        <w:rPr>
          <w:rFonts w:ascii="Times New Roman" w:eastAsiaTheme="minorEastAsia" w:hAnsi="Times New Roman" w:cs="Times New Roman"/>
          <w:sz w:val="28"/>
          <w:szCs w:val="28"/>
          <w:lang w:eastAsia="ru-RU"/>
        </w:rPr>
        <w:t xml:space="preserve">, Сырковое, </w:t>
      </w:r>
      <w:proofErr w:type="spellStart"/>
      <w:r w:rsidRPr="0046763F">
        <w:rPr>
          <w:rFonts w:ascii="Times New Roman" w:eastAsiaTheme="minorEastAsia" w:hAnsi="Times New Roman" w:cs="Times New Roman"/>
          <w:sz w:val="28"/>
          <w:szCs w:val="28"/>
          <w:lang w:eastAsia="ru-RU"/>
        </w:rPr>
        <w:t>Энетор</w:t>
      </w:r>
      <w:proofErr w:type="spellEnd"/>
      <w:r w:rsidRPr="0046763F">
        <w:rPr>
          <w:rFonts w:ascii="Times New Roman" w:eastAsiaTheme="minorEastAsia" w:hAnsi="Times New Roman" w:cs="Times New Roman"/>
          <w:sz w:val="28"/>
          <w:szCs w:val="28"/>
          <w:lang w:eastAsia="ru-RU"/>
        </w:rPr>
        <w:t xml:space="preserve">, </w:t>
      </w:r>
      <w:proofErr w:type="spellStart"/>
      <w:r w:rsidRPr="0046763F">
        <w:rPr>
          <w:rFonts w:ascii="Times New Roman" w:eastAsiaTheme="minorEastAsia" w:hAnsi="Times New Roman" w:cs="Times New Roman"/>
          <w:sz w:val="28"/>
          <w:szCs w:val="28"/>
          <w:lang w:eastAsia="ru-RU"/>
        </w:rPr>
        <w:t>Шопох</w:t>
      </w:r>
      <w:proofErr w:type="spellEnd"/>
      <w:r w:rsidRPr="0046763F">
        <w:rPr>
          <w:rFonts w:ascii="Times New Roman" w:eastAsiaTheme="minorEastAsia" w:hAnsi="Times New Roman" w:cs="Times New Roman"/>
          <w:sz w:val="28"/>
          <w:szCs w:val="28"/>
          <w:lang w:eastAsia="ru-RU"/>
        </w:rPr>
        <w:t xml:space="preserve"> Кондинского района, </w:t>
      </w:r>
      <w:proofErr w:type="spellStart"/>
      <w:r w:rsidRPr="0046763F">
        <w:rPr>
          <w:rFonts w:ascii="Times New Roman" w:eastAsiaTheme="minorEastAsia" w:hAnsi="Times New Roman" w:cs="Times New Roman"/>
          <w:sz w:val="28"/>
          <w:szCs w:val="28"/>
          <w:lang w:eastAsia="ru-RU"/>
        </w:rPr>
        <w:t>Ендра</w:t>
      </w:r>
      <w:proofErr w:type="spellEnd"/>
      <w:r w:rsidRPr="0046763F">
        <w:rPr>
          <w:rFonts w:ascii="Times New Roman" w:eastAsiaTheme="minorEastAsia" w:hAnsi="Times New Roman" w:cs="Times New Roman"/>
          <w:sz w:val="28"/>
          <w:szCs w:val="28"/>
          <w:lang w:eastAsia="ru-RU"/>
        </w:rPr>
        <w:t xml:space="preserve"> (</w:t>
      </w:r>
      <w:proofErr w:type="spellStart"/>
      <w:r w:rsidRPr="0046763F">
        <w:rPr>
          <w:rFonts w:ascii="Times New Roman" w:eastAsiaTheme="minorEastAsia" w:hAnsi="Times New Roman" w:cs="Times New Roman"/>
          <w:sz w:val="28"/>
          <w:szCs w:val="28"/>
          <w:lang w:eastAsia="ru-RU"/>
        </w:rPr>
        <w:t>Ендырь</w:t>
      </w:r>
      <w:proofErr w:type="spellEnd"/>
      <w:r w:rsidRPr="0046763F">
        <w:rPr>
          <w:rFonts w:ascii="Times New Roman" w:eastAsiaTheme="minorEastAsia" w:hAnsi="Times New Roman" w:cs="Times New Roman"/>
          <w:sz w:val="28"/>
          <w:szCs w:val="28"/>
          <w:lang w:eastAsia="ru-RU"/>
        </w:rPr>
        <w:t xml:space="preserve">), Долгий сор, </w:t>
      </w:r>
      <w:proofErr w:type="spellStart"/>
      <w:r w:rsidRPr="0046763F">
        <w:rPr>
          <w:rFonts w:ascii="Times New Roman" w:eastAsiaTheme="minorEastAsia" w:hAnsi="Times New Roman" w:cs="Times New Roman"/>
          <w:sz w:val="28"/>
          <w:szCs w:val="28"/>
          <w:lang w:eastAsia="ru-RU"/>
        </w:rPr>
        <w:t>Шош</w:t>
      </w:r>
      <w:proofErr w:type="spellEnd"/>
      <w:r w:rsidRPr="0046763F">
        <w:rPr>
          <w:rFonts w:ascii="Times New Roman" w:eastAsiaTheme="minorEastAsia" w:hAnsi="Times New Roman" w:cs="Times New Roman"/>
          <w:sz w:val="28"/>
          <w:szCs w:val="28"/>
          <w:lang w:eastAsia="ru-RU"/>
        </w:rPr>
        <w:t>-</w:t>
      </w:r>
      <w:proofErr w:type="spellStart"/>
      <w:r w:rsidRPr="0046763F">
        <w:rPr>
          <w:rFonts w:ascii="Times New Roman" w:eastAsiaTheme="minorEastAsia" w:hAnsi="Times New Roman" w:cs="Times New Roman"/>
          <w:sz w:val="28"/>
          <w:szCs w:val="28"/>
          <w:lang w:eastAsia="ru-RU"/>
        </w:rPr>
        <w:t>ега</w:t>
      </w:r>
      <w:proofErr w:type="spellEnd"/>
      <w:r w:rsidRPr="0046763F">
        <w:rPr>
          <w:rFonts w:ascii="Times New Roman" w:eastAsiaTheme="minorEastAsia" w:hAnsi="Times New Roman" w:cs="Times New Roman"/>
          <w:sz w:val="28"/>
          <w:szCs w:val="28"/>
          <w:lang w:eastAsia="ru-RU"/>
        </w:rPr>
        <w:t>-тор, Медвежье Ханты-Мансийского района;</w:t>
      </w:r>
    </w:p>
    <w:p w14:paraId="744E4FA5" w14:textId="66C1E5FD" w:rsidR="007B255C"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одного фитиля с крылом длиной не более 2 м, с размером (шагом) ячеи, указанным в пункте 20.4 Правил рыболовства.</w:t>
      </w:r>
    </w:p>
    <w:p w14:paraId="1F6739BA" w14:textId="77777777" w:rsidR="002879B1" w:rsidRPr="0046763F" w:rsidRDefault="002879B1"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14:paraId="7B525709" w14:textId="664926ED"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При осуществлении любительского рыболовства с применением сетных орудий лова запрещается:</w:t>
      </w:r>
    </w:p>
    <w:p w14:paraId="5B06C9C0"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нахождение на водоемах, в водоохранной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14:paraId="2E76AA49"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нахождение на водоемах, в водоохранной зоне и прибрежных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14:paraId="196F7CB4"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нахождение на водоемах, в водоохранной зоне и прибрежных защитных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14:paraId="263139F6"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14:paraId="360F15B0"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b/>
          <w:bCs/>
          <w:sz w:val="28"/>
          <w:szCs w:val="28"/>
          <w:lang w:eastAsia="ru-RU"/>
        </w:rPr>
        <w:t>применять жаберные сети без документа, удостоверяющего личность лица, осуществляющего их применение</w:t>
      </w:r>
      <w:r w:rsidRPr="0046763F">
        <w:rPr>
          <w:rFonts w:ascii="Times New Roman" w:eastAsiaTheme="minorEastAsia" w:hAnsi="Times New Roman" w:cs="Times New Roman"/>
          <w:sz w:val="28"/>
          <w:szCs w:val="28"/>
          <w:lang w:eastAsia="ru-RU"/>
        </w:rPr>
        <w:t>;</w:t>
      </w:r>
    </w:p>
    <w:p w14:paraId="7BBFD6BA" w14:textId="7777777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передача жаберных сетей лицом, осуществившим учет и маркировку жаберных сетей, другим лицам;</w:t>
      </w:r>
    </w:p>
    <w:p w14:paraId="7E9AE805" w14:textId="6C7228E7" w:rsidR="00EE1EBF" w:rsidRPr="0046763F" w:rsidRDefault="00EE1EBF" w:rsidP="00EE1EB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оставление жаберных сетей без контроля лица</w:t>
      </w:r>
      <w:r w:rsidR="0046763F">
        <w:rPr>
          <w:rFonts w:ascii="Times New Roman" w:eastAsiaTheme="minorEastAsia" w:hAnsi="Times New Roman" w:cs="Times New Roman"/>
          <w:sz w:val="28"/>
          <w:szCs w:val="28"/>
          <w:lang w:eastAsia="ru-RU"/>
        </w:rPr>
        <w:t>,</w:t>
      </w:r>
      <w:r w:rsidRPr="0046763F">
        <w:rPr>
          <w:rFonts w:ascii="Times New Roman" w:eastAsiaTheme="minorEastAsia" w:hAnsi="Times New Roman" w:cs="Times New Roman"/>
          <w:sz w:val="28"/>
          <w:szCs w:val="28"/>
          <w:lang w:eastAsia="ru-RU"/>
        </w:rPr>
        <w:t xml:space="preserve"> осуществляющего их применение;</w:t>
      </w:r>
    </w:p>
    <w:p w14:paraId="3423793C" w14:textId="77777777" w:rsidR="00EE1EBF" w:rsidRPr="0046763F" w:rsidRDefault="00EE1EBF"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выброс сетных орудий лова, в том числе жаберных сетей и их частей вне специально предусмотренных для сбора мусора мест.</w:t>
      </w:r>
    </w:p>
    <w:p w14:paraId="1849A46C" w14:textId="28FAAF4A"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b/>
          <w:bCs/>
          <w:sz w:val="28"/>
          <w:szCs w:val="28"/>
          <w:lang w:eastAsia="ru-RU"/>
        </w:rPr>
      </w:pPr>
      <w:r w:rsidRPr="0046763F">
        <w:rPr>
          <w:rFonts w:ascii="Times New Roman" w:eastAsiaTheme="minorEastAsia" w:hAnsi="Times New Roman" w:cs="Times New Roman"/>
          <w:b/>
          <w:bCs/>
          <w:sz w:val="28"/>
          <w:szCs w:val="28"/>
          <w:lang w:eastAsia="ru-RU"/>
        </w:rPr>
        <w:t>При любительском рыболовстве запрещается применение сетных орудий добычи (вылова) из лески (мононити).</w:t>
      </w:r>
    </w:p>
    <w:p w14:paraId="5C3582FF" w14:textId="77777777" w:rsidR="007B255C" w:rsidRPr="0046763F" w:rsidRDefault="007B255C" w:rsidP="00B1199B">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Любительское рыболовство с применением сетных орудий добычи (вылова) на водных объектах рыбохозяйственного значения разрешается гражданам Российской Федерации в целях удовлетворения личных потребностей в соответствии с установленными суточными нормами добычи (вылова) и ограничениями рыболовства, установленными Правилами рыболовства, после учета и обязательной поштучной маркировки сетных орудий добычи (вылова).</w:t>
      </w:r>
    </w:p>
    <w:p w14:paraId="39525B77"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b/>
          <w:sz w:val="28"/>
          <w:szCs w:val="28"/>
          <w:lang w:eastAsia="ru-RU"/>
        </w:rPr>
      </w:pPr>
      <w:r w:rsidRPr="0046763F">
        <w:rPr>
          <w:rFonts w:ascii="Times New Roman" w:eastAsiaTheme="minorEastAsia" w:hAnsi="Times New Roman" w:cs="Times New Roman"/>
          <w:b/>
          <w:sz w:val="28"/>
          <w:szCs w:val="28"/>
          <w:lang w:eastAsia="ru-RU"/>
        </w:rPr>
        <w:t>При любительском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14:paraId="278BB9E0"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а) запретные сроки (периоды) добычи (вылова) водных биоресурсов:</w:t>
      </w:r>
    </w:p>
    <w:p w14:paraId="36669174"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на всех водных объектах рыбохозяйственного значения и их частях, указанных в </w:t>
      </w:r>
      <w:hyperlink w:anchor="Par651" w:tooltip="20.1. Запретные для добычи (вылова) водных биоресурсов сроки (периоды):" w:history="1">
        <w:r w:rsidRPr="0046763F">
          <w:rPr>
            <w:rFonts w:ascii="Times New Roman" w:eastAsiaTheme="minorEastAsia" w:hAnsi="Times New Roman" w:cs="Times New Roman"/>
            <w:sz w:val="28"/>
            <w:szCs w:val="28"/>
            <w:lang w:eastAsia="ru-RU"/>
          </w:rPr>
          <w:t>пункте 20.1</w:t>
        </w:r>
      </w:hyperlink>
      <w:r w:rsidRPr="0046763F">
        <w:rPr>
          <w:rFonts w:ascii="Times New Roman" w:eastAsiaTheme="minorEastAsia" w:hAnsi="Times New Roman" w:cs="Times New Roman"/>
          <w:sz w:val="28"/>
          <w:szCs w:val="28"/>
          <w:lang w:eastAsia="ru-RU"/>
        </w:rPr>
        <w:t xml:space="preserve"> Правил рыболовства;</w:t>
      </w:r>
    </w:p>
    <w:p w14:paraId="17E6E922"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б) запретные для добычи (вылова) виды водных биоресурсов:</w:t>
      </w:r>
    </w:p>
    <w:p w14:paraId="108A769A"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lastRenderedPageBreak/>
        <w:t>осетр сибирский, стерлядь, нельма, муксун, таймень, чир (</w:t>
      </w:r>
      <w:proofErr w:type="spellStart"/>
      <w:r w:rsidRPr="0046763F">
        <w:rPr>
          <w:rFonts w:ascii="Times New Roman" w:eastAsiaTheme="minorEastAsia" w:hAnsi="Times New Roman" w:cs="Times New Roman"/>
          <w:sz w:val="28"/>
          <w:szCs w:val="28"/>
          <w:lang w:eastAsia="ru-RU"/>
        </w:rPr>
        <w:t>щекур</w:t>
      </w:r>
      <w:proofErr w:type="spellEnd"/>
      <w:r w:rsidRPr="0046763F">
        <w:rPr>
          <w:rFonts w:ascii="Times New Roman" w:eastAsiaTheme="minorEastAsia" w:hAnsi="Times New Roman" w:cs="Times New Roman"/>
          <w:sz w:val="28"/>
          <w:szCs w:val="28"/>
          <w:lang w:eastAsia="ru-RU"/>
        </w:rPr>
        <w:t>);</w:t>
      </w:r>
    </w:p>
    <w:p w14:paraId="2AF49CBB"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в) минимальный размер добываемых (вылавливаемых) водных биоресурсов (промысловый размер):</w:t>
      </w:r>
    </w:p>
    <w:p w14:paraId="052D80E9" w14:textId="77777777" w:rsidR="004E46AF" w:rsidRPr="0046763F" w:rsidRDefault="004E46AF" w:rsidP="004E46AF">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при осуществлении любительского рыболовства запрещается добыча (вылов) водных биоресурсов, имеющих в свежем виде длину меньше указанной в таблице 38 (промысловый размер):</w:t>
      </w:r>
    </w:p>
    <w:p w14:paraId="3DB72F5B" w14:textId="77777777" w:rsidR="004E46AF" w:rsidRPr="00DA4ED8" w:rsidRDefault="004E46AF" w:rsidP="004E46AF">
      <w:pPr>
        <w:widowControl w:val="0"/>
        <w:autoSpaceDE w:val="0"/>
        <w:autoSpaceDN w:val="0"/>
        <w:adjustRightInd w:val="0"/>
        <w:spacing w:after="0" w:line="240" w:lineRule="auto"/>
        <w:jc w:val="right"/>
        <w:outlineLvl w:val="2"/>
        <w:rPr>
          <w:rFonts w:ascii="Times New Roman" w:eastAsiaTheme="minorEastAsia" w:hAnsi="Times New Roman" w:cs="Times New Roman"/>
          <w:sz w:val="24"/>
          <w:szCs w:val="24"/>
          <w:lang w:eastAsia="ru-RU"/>
        </w:rPr>
      </w:pPr>
      <w:bookmarkStart w:id="1" w:name="Par1880"/>
      <w:bookmarkEnd w:id="1"/>
      <w:r w:rsidRPr="00DA4ED8">
        <w:rPr>
          <w:rFonts w:ascii="Times New Roman" w:eastAsiaTheme="minorEastAsia" w:hAnsi="Times New Roman" w:cs="Times New Roman"/>
          <w:sz w:val="24"/>
          <w:szCs w:val="24"/>
          <w:lang w:eastAsia="ru-RU"/>
        </w:rPr>
        <w:t>Таблица 38</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4E46AF" w:rsidRPr="00DA4ED8" w14:paraId="5FD3DDE0" w14:textId="77777777" w:rsidTr="007A0F04">
        <w:trPr>
          <w:jc w:val="center"/>
        </w:trPr>
        <w:tc>
          <w:tcPr>
            <w:tcW w:w="5839" w:type="dxa"/>
            <w:tcBorders>
              <w:top w:val="single" w:sz="4" w:space="0" w:color="auto"/>
              <w:left w:val="single" w:sz="4" w:space="0" w:color="auto"/>
              <w:bottom w:val="single" w:sz="4" w:space="0" w:color="auto"/>
              <w:right w:val="single" w:sz="4" w:space="0" w:color="auto"/>
            </w:tcBorders>
          </w:tcPr>
          <w:p w14:paraId="233C3911" w14:textId="77777777" w:rsidR="004E46AF" w:rsidRPr="00DA4ED8" w:rsidRDefault="004E46AF" w:rsidP="007A0F0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14:paraId="586618D7" w14:textId="77777777" w:rsidR="004E46AF" w:rsidRPr="00DA4ED8" w:rsidRDefault="004E46AF" w:rsidP="007A0F0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Длина, см</w:t>
            </w:r>
          </w:p>
        </w:tc>
      </w:tr>
      <w:tr w:rsidR="004E46AF" w:rsidRPr="00DA4ED8" w14:paraId="62D69343" w14:textId="77777777" w:rsidTr="004E46AF">
        <w:trPr>
          <w:trHeight w:val="31"/>
          <w:jc w:val="center"/>
        </w:trPr>
        <w:tc>
          <w:tcPr>
            <w:tcW w:w="5839" w:type="dxa"/>
            <w:tcBorders>
              <w:top w:val="single" w:sz="4" w:space="0" w:color="auto"/>
              <w:left w:val="single" w:sz="4" w:space="0" w:color="auto"/>
              <w:bottom w:val="single" w:sz="4" w:space="0" w:color="auto"/>
              <w:right w:val="single" w:sz="4" w:space="0" w:color="auto"/>
            </w:tcBorders>
          </w:tcPr>
          <w:p w14:paraId="5DF3B82F" w14:textId="77777777" w:rsidR="004E46AF" w:rsidRPr="00DA4ED8" w:rsidRDefault="004E46AF" w:rsidP="007A0F0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Пелядь (сырок)</w:t>
            </w:r>
          </w:p>
        </w:tc>
        <w:tc>
          <w:tcPr>
            <w:tcW w:w="3231" w:type="dxa"/>
            <w:tcBorders>
              <w:top w:val="single" w:sz="4" w:space="0" w:color="auto"/>
              <w:left w:val="single" w:sz="4" w:space="0" w:color="auto"/>
              <w:bottom w:val="single" w:sz="4" w:space="0" w:color="auto"/>
              <w:right w:val="single" w:sz="4" w:space="0" w:color="auto"/>
            </w:tcBorders>
          </w:tcPr>
          <w:p w14:paraId="69EDCCCC" w14:textId="77777777" w:rsidR="004E46AF" w:rsidRPr="00DA4ED8" w:rsidRDefault="004E46AF" w:rsidP="007A0F0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26</w:t>
            </w:r>
          </w:p>
        </w:tc>
      </w:tr>
      <w:tr w:rsidR="004E46AF" w:rsidRPr="00DA4ED8" w14:paraId="41E009F7" w14:textId="77777777" w:rsidTr="004E46AF">
        <w:trPr>
          <w:trHeight w:val="264"/>
          <w:jc w:val="center"/>
        </w:trPr>
        <w:tc>
          <w:tcPr>
            <w:tcW w:w="5839" w:type="dxa"/>
            <w:tcBorders>
              <w:top w:val="single" w:sz="4" w:space="0" w:color="auto"/>
              <w:left w:val="single" w:sz="4" w:space="0" w:color="auto"/>
              <w:bottom w:val="single" w:sz="4" w:space="0" w:color="auto"/>
              <w:right w:val="single" w:sz="4" w:space="0" w:color="auto"/>
            </w:tcBorders>
          </w:tcPr>
          <w:p w14:paraId="5CDC536B" w14:textId="77777777" w:rsidR="004E46AF" w:rsidRPr="00DA4ED8" w:rsidRDefault="004E46AF" w:rsidP="007A0F0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Сиг (сиг-пыжьян)</w:t>
            </w:r>
          </w:p>
        </w:tc>
        <w:tc>
          <w:tcPr>
            <w:tcW w:w="3231" w:type="dxa"/>
            <w:tcBorders>
              <w:top w:val="single" w:sz="4" w:space="0" w:color="auto"/>
              <w:left w:val="single" w:sz="4" w:space="0" w:color="auto"/>
              <w:bottom w:val="single" w:sz="4" w:space="0" w:color="auto"/>
              <w:right w:val="single" w:sz="4" w:space="0" w:color="auto"/>
            </w:tcBorders>
          </w:tcPr>
          <w:p w14:paraId="0B792729" w14:textId="77777777" w:rsidR="004E46AF" w:rsidRPr="00DA4ED8" w:rsidRDefault="004E46AF" w:rsidP="007A0F0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25</w:t>
            </w:r>
          </w:p>
        </w:tc>
      </w:tr>
      <w:tr w:rsidR="004E46AF" w:rsidRPr="00DA4ED8" w14:paraId="7FB8164C" w14:textId="77777777" w:rsidTr="007A0F04">
        <w:trPr>
          <w:jc w:val="center"/>
        </w:trPr>
        <w:tc>
          <w:tcPr>
            <w:tcW w:w="5839" w:type="dxa"/>
            <w:tcBorders>
              <w:top w:val="single" w:sz="4" w:space="0" w:color="auto"/>
              <w:left w:val="single" w:sz="4" w:space="0" w:color="auto"/>
              <w:bottom w:val="single" w:sz="4" w:space="0" w:color="auto"/>
              <w:right w:val="single" w:sz="4" w:space="0" w:color="auto"/>
            </w:tcBorders>
          </w:tcPr>
          <w:p w14:paraId="4AEB19CD" w14:textId="77777777" w:rsidR="004E46AF" w:rsidRPr="00DA4ED8" w:rsidRDefault="004E46AF" w:rsidP="007A0F0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Язь</w:t>
            </w:r>
          </w:p>
        </w:tc>
        <w:tc>
          <w:tcPr>
            <w:tcW w:w="3231" w:type="dxa"/>
            <w:tcBorders>
              <w:top w:val="single" w:sz="4" w:space="0" w:color="auto"/>
              <w:left w:val="single" w:sz="4" w:space="0" w:color="auto"/>
              <w:bottom w:val="single" w:sz="4" w:space="0" w:color="auto"/>
              <w:right w:val="single" w:sz="4" w:space="0" w:color="auto"/>
            </w:tcBorders>
          </w:tcPr>
          <w:p w14:paraId="3849BBD8" w14:textId="77777777" w:rsidR="004E46AF" w:rsidRPr="00DA4ED8" w:rsidRDefault="004E46AF" w:rsidP="007A0F0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25</w:t>
            </w:r>
          </w:p>
        </w:tc>
      </w:tr>
    </w:tbl>
    <w:p w14:paraId="4A5CC1B2"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14:paraId="28F1D7CC" w14:textId="77777777" w:rsidR="004E46AF" w:rsidRPr="0046763F" w:rsidRDefault="004E46AF"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637FB6E8" w14:textId="543C50BA"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Добытые (выловленные) водные биоресурсы, имеющие длину меньше указанной в </w:t>
      </w:r>
      <w:hyperlink w:anchor="Par1880" w:tooltip="Таблица 38" w:history="1">
        <w:r w:rsidRPr="0046763F">
          <w:rPr>
            <w:rFonts w:ascii="Times New Roman" w:eastAsiaTheme="minorEastAsia" w:hAnsi="Times New Roman" w:cs="Times New Roman"/>
            <w:sz w:val="28"/>
            <w:szCs w:val="28"/>
            <w:lang w:eastAsia="ru-RU"/>
          </w:rPr>
          <w:t>таблице 38</w:t>
        </w:r>
      </w:hyperlink>
      <w:r w:rsidRPr="0046763F">
        <w:rPr>
          <w:rFonts w:ascii="Times New Roman" w:eastAsiaTheme="minorEastAsia" w:hAnsi="Times New Roman" w:cs="Times New Roman"/>
          <w:sz w:val="28"/>
          <w:szCs w:val="28"/>
          <w:lang w:eastAsia="ru-RU"/>
        </w:rPr>
        <w:t>, подлежат немедленному выпуску в естественную среду обитания с наименьшими повреждениями;</w:t>
      </w:r>
    </w:p>
    <w:p w14:paraId="3598DC0A"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14:paraId="443E4BD7" w14:textId="77777777" w:rsidR="007B255C" w:rsidRPr="00DA4ED8" w:rsidRDefault="007B255C" w:rsidP="007B255C">
      <w:pPr>
        <w:widowControl w:val="0"/>
        <w:autoSpaceDE w:val="0"/>
        <w:autoSpaceDN w:val="0"/>
        <w:adjustRightInd w:val="0"/>
        <w:spacing w:after="0" w:line="240" w:lineRule="auto"/>
        <w:jc w:val="right"/>
        <w:outlineLvl w:val="2"/>
        <w:rPr>
          <w:rFonts w:ascii="Times New Roman" w:eastAsiaTheme="minorEastAsia" w:hAnsi="Times New Roman" w:cs="Times New Roman"/>
          <w:sz w:val="24"/>
          <w:szCs w:val="24"/>
          <w:lang w:eastAsia="ru-RU"/>
        </w:rPr>
      </w:pPr>
      <w:bookmarkStart w:id="2" w:name="Par1895"/>
      <w:bookmarkEnd w:id="2"/>
      <w:r w:rsidRPr="00DA4ED8">
        <w:rPr>
          <w:rFonts w:ascii="Times New Roman" w:eastAsiaTheme="minorEastAsia" w:hAnsi="Times New Roman" w:cs="Times New Roman"/>
          <w:sz w:val="24"/>
          <w:szCs w:val="24"/>
          <w:lang w:eastAsia="ru-RU"/>
        </w:rPr>
        <w:t>Таблица 38.1</w:t>
      </w:r>
    </w:p>
    <w:p w14:paraId="24F059A3" w14:textId="77777777" w:rsidR="007B255C" w:rsidRPr="00DA4ED8" w:rsidRDefault="007B255C" w:rsidP="007B255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7B255C" w:rsidRPr="00DA4ED8" w14:paraId="5C2637D9"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33AB9696"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14:paraId="58BCC033"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Суточная норма добычи (вылова)</w:t>
            </w:r>
          </w:p>
        </w:tc>
      </w:tr>
      <w:tr w:rsidR="007B255C" w:rsidRPr="00DA4ED8" w14:paraId="3430A1CC"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41395912"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Тугун</w:t>
            </w:r>
          </w:p>
        </w:tc>
        <w:tc>
          <w:tcPr>
            <w:tcW w:w="3231" w:type="dxa"/>
            <w:tcBorders>
              <w:top w:val="single" w:sz="4" w:space="0" w:color="auto"/>
              <w:left w:val="single" w:sz="4" w:space="0" w:color="auto"/>
              <w:bottom w:val="single" w:sz="4" w:space="0" w:color="auto"/>
              <w:right w:val="single" w:sz="4" w:space="0" w:color="auto"/>
            </w:tcBorders>
          </w:tcPr>
          <w:p w14:paraId="501AEE31"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3 кг</w:t>
            </w:r>
          </w:p>
        </w:tc>
      </w:tr>
      <w:tr w:rsidR="007B255C" w:rsidRPr="00DA4ED8" w14:paraId="390431FD"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48BBDA56"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Хариус сибирский</w:t>
            </w:r>
          </w:p>
        </w:tc>
        <w:tc>
          <w:tcPr>
            <w:tcW w:w="3231" w:type="dxa"/>
            <w:tcBorders>
              <w:top w:val="single" w:sz="4" w:space="0" w:color="auto"/>
              <w:left w:val="single" w:sz="4" w:space="0" w:color="auto"/>
              <w:bottom w:val="single" w:sz="4" w:space="0" w:color="auto"/>
              <w:right w:val="single" w:sz="4" w:space="0" w:color="auto"/>
            </w:tcBorders>
          </w:tcPr>
          <w:p w14:paraId="69B3FD2A"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3 кг</w:t>
            </w:r>
          </w:p>
        </w:tc>
      </w:tr>
      <w:tr w:rsidR="007B255C" w:rsidRPr="00DA4ED8" w14:paraId="14AA1B37"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70FE88CE"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Язь, щука, налим, судак (суммарно)</w:t>
            </w:r>
          </w:p>
        </w:tc>
        <w:tc>
          <w:tcPr>
            <w:tcW w:w="3231" w:type="dxa"/>
            <w:tcBorders>
              <w:top w:val="single" w:sz="4" w:space="0" w:color="auto"/>
              <w:left w:val="single" w:sz="4" w:space="0" w:color="auto"/>
              <w:bottom w:val="single" w:sz="4" w:space="0" w:color="auto"/>
              <w:right w:val="single" w:sz="4" w:space="0" w:color="auto"/>
            </w:tcBorders>
          </w:tcPr>
          <w:p w14:paraId="6FD33521"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10 кг</w:t>
            </w:r>
          </w:p>
        </w:tc>
      </w:tr>
      <w:tr w:rsidR="007B255C" w:rsidRPr="00DA4ED8" w14:paraId="01C3AC91"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5CE2D9EE"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Окунь, плотва, елец, карась (суммарно)</w:t>
            </w:r>
          </w:p>
        </w:tc>
        <w:tc>
          <w:tcPr>
            <w:tcW w:w="3231" w:type="dxa"/>
            <w:tcBorders>
              <w:top w:val="single" w:sz="4" w:space="0" w:color="auto"/>
              <w:left w:val="single" w:sz="4" w:space="0" w:color="auto"/>
              <w:bottom w:val="single" w:sz="4" w:space="0" w:color="auto"/>
              <w:right w:val="single" w:sz="4" w:space="0" w:color="auto"/>
            </w:tcBorders>
          </w:tcPr>
          <w:p w14:paraId="05CF6E35"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30 кг</w:t>
            </w:r>
          </w:p>
        </w:tc>
      </w:tr>
      <w:tr w:rsidR="007B255C" w:rsidRPr="00DA4ED8" w14:paraId="0CF50084"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4ABFEAD3"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Пелядь (сырок)</w:t>
            </w:r>
          </w:p>
        </w:tc>
        <w:tc>
          <w:tcPr>
            <w:tcW w:w="3231" w:type="dxa"/>
            <w:tcBorders>
              <w:top w:val="single" w:sz="4" w:space="0" w:color="auto"/>
              <w:left w:val="single" w:sz="4" w:space="0" w:color="auto"/>
              <w:bottom w:val="single" w:sz="4" w:space="0" w:color="auto"/>
              <w:right w:val="single" w:sz="4" w:space="0" w:color="auto"/>
            </w:tcBorders>
          </w:tcPr>
          <w:p w14:paraId="3FA08AAE"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5 кг</w:t>
            </w:r>
          </w:p>
        </w:tc>
      </w:tr>
      <w:tr w:rsidR="007B255C" w:rsidRPr="00DA4ED8" w14:paraId="0E9AE785" w14:textId="77777777" w:rsidTr="00DA4ED8">
        <w:trPr>
          <w:jc w:val="center"/>
        </w:trPr>
        <w:tc>
          <w:tcPr>
            <w:tcW w:w="5839" w:type="dxa"/>
            <w:tcBorders>
              <w:top w:val="single" w:sz="4" w:space="0" w:color="auto"/>
              <w:left w:val="single" w:sz="4" w:space="0" w:color="auto"/>
              <w:bottom w:val="single" w:sz="4" w:space="0" w:color="auto"/>
              <w:right w:val="single" w:sz="4" w:space="0" w:color="auto"/>
            </w:tcBorders>
          </w:tcPr>
          <w:p w14:paraId="2E21907C" w14:textId="77777777" w:rsidR="007B255C" w:rsidRPr="00DA4ED8" w:rsidRDefault="007B255C" w:rsidP="007B255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Сиг-пыжьян</w:t>
            </w:r>
          </w:p>
        </w:tc>
        <w:tc>
          <w:tcPr>
            <w:tcW w:w="3231" w:type="dxa"/>
            <w:tcBorders>
              <w:top w:val="single" w:sz="4" w:space="0" w:color="auto"/>
              <w:left w:val="single" w:sz="4" w:space="0" w:color="auto"/>
              <w:bottom w:val="single" w:sz="4" w:space="0" w:color="auto"/>
              <w:right w:val="single" w:sz="4" w:space="0" w:color="auto"/>
            </w:tcBorders>
          </w:tcPr>
          <w:p w14:paraId="58B0B84B" w14:textId="77777777" w:rsidR="007B255C" w:rsidRPr="00DA4ED8" w:rsidRDefault="007B255C" w:rsidP="007B255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A4ED8">
              <w:rPr>
                <w:rFonts w:ascii="Times New Roman" w:eastAsiaTheme="minorEastAsia" w:hAnsi="Times New Roman" w:cs="Times New Roman"/>
                <w:sz w:val="24"/>
                <w:szCs w:val="24"/>
                <w:lang w:eastAsia="ru-RU"/>
              </w:rPr>
              <w:t>5 кг</w:t>
            </w:r>
          </w:p>
        </w:tc>
      </w:tr>
    </w:tbl>
    <w:p w14:paraId="67B09DB9" w14:textId="77777777" w:rsidR="00B1199B" w:rsidRPr="00DA4ED8" w:rsidRDefault="00B1199B"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7D9FBC30"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Суммарная суточная норма добычи (вылова) для всех видов водных биоресурсов, указанных в </w:t>
      </w:r>
      <w:hyperlink w:anchor="Par1895" w:tooltip="Таблица 38.1" w:history="1">
        <w:r w:rsidRPr="0046763F">
          <w:rPr>
            <w:rFonts w:ascii="Times New Roman" w:eastAsiaTheme="minorEastAsia" w:hAnsi="Times New Roman" w:cs="Times New Roman"/>
            <w:color w:val="0000FF"/>
            <w:sz w:val="28"/>
            <w:szCs w:val="28"/>
            <w:lang w:eastAsia="ru-RU"/>
          </w:rPr>
          <w:t>таблице 38.1</w:t>
        </w:r>
      </w:hyperlink>
      <w:r w:rsidRPr="0046763F">
        <w:rPr>
          <w:rFonts w:ascii="Times New Roman" w:eastAsiaTheme="minorEastAsia" w:hAnsi="Times New Roman" w:cs="Times New Roman"/>
          <w:sz w:val="28"/>
          <w:szCs w:val="28"/>
          <w:lang w:eastAsia="ru-RU"/>
        </w:rPr>
        <w:t>, составляет не более 30 кг или один экземпляр в случае, если его вес превышает 30 кг.</w:t>
      </w:r>
    </w:p>
    <w:p w14:paraId="7403728C"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46763F">
        <w:rPr>
          <w:rFonts w:ascii="Times New Roman" w:eastAsiaTheme="minorEastAsia" w:hAnsi="Times New Roman" w:cs="Times New Roman"/>
          <w:b/>
          <w:sz w:val="28"/>
          <w:szCs w:val="28"/>
          <w:lang w:eastAsia="ru-RU"/>
        </w:rPr>
        <w:t>В случае превышения суммарной суточной нормы добыча (вылов) водных биоресурсов прекращается.</w:t>
      </w:r>
    </w:p>
    <w:p w14:paraId="434E6177"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46763F">
        <w:rPr>
          <w:rFonts w:ascii="Times New Roman" w:eastAsiaTheme="minorEastAsia" w:hAnsi="Times New Roman" w:cs="Times New Roman"/>
          <w:b/>
          <w:sz w:val="28"/>
          <w:szCs w:val="28"/>
          <w:lang w:eastAsia="ru-RU"/>
        </w:rPr>
        <w:t xml:space="preserve">Для видов водных биоресурсов, не указанных в </w:t>
      </w:r>
      <w:hyperlink w:anchor="Par1895" w:tooltip="Таблица 38.1" w:history="1">
        <w:r w:rsidRPr="0046763F">
          <w:rPr>
            <w:rFonts w:ascii="Times New Roman" w:eastAsiaTheme="minorEastAsia" w:hAnsi="Times New Roman" w:cs="Times New Roman"/>
            <w:b/>
            <w:color w:val="0000FF"/>
            <w:sz w:val="28"/>
            <w:szCs w:val="28"/>
            <w:lang w:eastAsia="ru-RU"/>
          </w:rPr>
          <w:t>таблице 38.1</w:t>
        </w:r>
      </w:hyperlink>
      <w:r w:rsidRPr="0046763F">
        <w:rPr>
          <w:rFonts w:ascii="Times New Roman" w:eastAsiaTheme="minorEastAsia" w:hAnsi="Times New Roman" w:cs="Times New Roman"/>
          <w:b/>
          <w:sz w:val="28"/>
          <w:szCs w:val="28"/>
          <w:lang w:eastAsia="ru-RU"/>
        </w:rPr>
        <w:t>, суточная норма добычи (вылова) не устанавливается.</w:t>
      </w:r>
    </w:p>
    <w:p w14:paraId="30FDEEC5"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ar2246"/>
      <w:bookmarkEnd w:id="3"/>
      <w:r w:rsidRPr="0046763F">
        <w:rPr>
          <w:rFonts w:ascii="Times New Roman" w:eastAsiaTheme="minorEastAsia" w:hAnsi="Times New Roman" w:cs="Times New Roman"/>
          <w:sz w:val="28"/>
          <w:szCs w:val="28"/>
          <w:lang w:eastAsia="ru-RU"/>
        </w:rPr>
        <w:t>Гражданам запрещается:</w:t>
      </w:r>
    </w:p>
    <w:p w14:paraId="18BDBB8F"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w:t>
      </w:r>
      <w:r w:rsidRPr="0046763F">
        <w:rPr>
          <w:rFonts w:ascii="Times New Roman" w:eastAsiaTheme="minorEastAsia" w:hAnsi="Times New Roman" w:cs="Times New Roman"/>
          <w:sz w:val="28"/>
          <w:szCs w:val="28"/>
          <w:lang w:eastAsia="ru-RU"/>
        </w:rPr>
        <w:lastRenderedPageBreak/>
        <w:t>нанесения на него фамилии, имени, отчества (при наличии)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14:paraId="41D11512"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Превышать суточную норму добычи (вылова), установленную Правилами рыболовства.</w:t>
      </w:r>
    </w:p>
    <w:p w14:paraId="0D222F41" w14:textId="77777777" w:rsidR="007B255C" w:rsidRPr="0046763F" w:rsidRDefault="007B255C" w:rsidP="006539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6763F">
        <w:rPr>
          <w:rFonts w:ascii="Times New Roman" w:eastAsiaTheme="minorEastAsia" w:hAnsi="Times New Roman" w:cs="Times New Roman"/>
          <w:sz w:val="28"/>
          <w:szCs w:val="28"/>
          <w:lang w:eastAsia="ru-RU"/>
        </w:rPr>
        <w:t xml:space="preserve">В случае пребывания на водном объекте более одних суток вне зависимости от продолжительности любительского рыболовства добыча (вылов) и хранение, и (или) транспортировка водных биоресурсов разрешаются в размере не более </w:t>
      </w:r>
      <w:proofErr w:type="gramStart"/>
      <w:r w:rsidRPr="0046763F">
        <w:rPr>
          <w:rFonts w:ascii="Times New Roman" w:eastAsiaTheme="minorEastAsia" w:hAnsi="Times New Roman" w:cs="Times New Roman"/>
          <w:sz w:val="28"/>
          <w:szCs w:val="28"/>
          <w:lang w:eastAsia="ru-RU"/>
        </w:rPr>
        <w:t>двух суточных</w:t>
      </w:r>
      <w:proofErr w:type="gramEnd"/>
      <w:r w:rsidRPr="0046763F">
        <w:rPr>
          <w:rFonts w:ascii="Times New Roman" w:eastAsiaTheme="minorEastAsia" w:hAnsi="Times New Roman" w:cs="Times New Roman"/>
          <w:sz w:val="28"/>
          <w:szCs w:val="28"/>
          <w:lang w:eastAsia="ru-RU"/>
        </w:rPr>
        <w:t xml:space="preserve"> норм добычи (вылова).</w:t>
      </w:r>
    </w:p>
    <w:p w14:paraId="737B90AD" w14:textId="77777777" w:rsidR="005450C3" w:rsidRPr="0046763F" w:rsidRDefault="005450C3" w:rsidP="005450C3">
      <w:pPr>
        <w:spacing w:after="0"/>
        <w:ind w:firstLine="709"/>
        <w:jc w:val="both"/>
        <w:rPr>
          <w:rFonts w:ascii="Times New Roman" w:hAnsi="Times New Roman" w:cs="Times New Roman"/>
          <w:color w:val="000000"/>
          <w:sz w:val="28"/>
          <w:szCs w:val="28"/>
          <w:shd w:val="clear" w:color="auto" w:fill="FFFFFF"/>
        </w:rPr>
      </w:pPr>
      <w:r w:rsidRPr="0046763F">
        <w:rPr>
          <w:rFonts w:ascii="Times New Roman" w:hAnsi="Times New Roman" w:cs="Times New Roman"/>
          <w:color w:val="000000"/>
          <w:sz w:val="28"/>
          <w:szCs w:val="28"/>
          <w:shd w:val="clear" w:color="auto" w:fill="FFFFFF"/>
        </w:rPr>
        <w:t xml:space="preserve">За нарушение действующих Правил рыболовства и незаконную добычу </w:t>
      </w:r>
      <w:r w:rsidR="009033C4" w:rsidRPr="0046763F">
        <w:rPr>
          <w:rFonts w:ascii="Times New Roman" w:hAnsi="Times New Roman" w:cs="Times New Roman"/>
          <w:color w:val="000000"/>
          <w:sz w:val="28"/>
          <w:szCs w:val="28"/>
          <w:shd w:val="clear" w:color="auto" w:fill="FFFFFF"/>
        </w:rPr>
        <w:t>водных биоресурсов</w:t>
      </w:r>
      <w:r w:rsidRPr="0046763F">
        <w:rPr>
          <w:rFonts w:ascii="Times New Roman" w:hAnsi="Times New Roman" w:cs="Times New Roman"/>
          <w:color w:val="000000"/>
          <w:sz w:val="28"/>
          <w:szCs w:val="28"/>
          <w:shd w:val="clear" w:color="auto" w:fill="FFFFFF"/>
        </w:rPr>
        <w:t>, граждане</w:t>
      </w:r>
      <w:r w:rsidR="009033C4" w:rsidRPr="0046763F">
        <w:rPr>
          <w:rFonts w:ascii="Times New Roman" w:hAnsi="Times New Roman" w:cs="Times New Roman"/>
          <w:color w:val="000000"/>
          <w:sz w:val="28"/>
          <w:szCs w:val="28"/>
          <w:shd w:val="clear" w:color="auto" w:fill="FFFFFF"/>
        </w:rPr>
        <w:t xml:space="preserve"> и юридические лица</w:t>
      </w:r>
      <w:r w:rsidRPr="0046763F">
        <w:rPr>
          <w:rFonts w:ascii="Times New Roman" w:hAnsi="Times New Roman" w:cs="Times New Roman"/>
          <w:color w:val="000000"/>
          <w:sz w:val="28"/>
          <w:szCs w:val="28"/>
          <w:shd w:val="clear" w:color="auto" w:fill="FFFFFF"/>
        </w:rPr>
        <w:t xml:space="preserve"> могут привлекаться как административной, так и к уголовной ответственности. </w:t>
      </w:r>
    </w:p>
    <w:p w14:paraId="666A224C" w14:textId="77777777" w:rsidR="00F83D9E" w:rsidRPr="0046763F" w:rsidRDefault="00F83D9E" w:rsidP="005450C3">
      <w:pPr>
        <w:spacing w:after="0"/>
        <w:ind w:firstLine="709"/>
        <w:jc w:val="both"/>
        <w:rPr>
          <w:rFonts w:ascii="Times New Roman" w:eastAsia="Times New Roman" w:hAnsi="Times New Roman" w:cs="Times New Roman"/>
          <w:b/>
          <w:bCs/>
          <w:color w:val="000000"/>
          <w:sz w:val="28"/>
          <w:szCs w:val="28"/>
          <w:lang w:eastAsia="ru-RU"/>
        </w:rPr>
      </w:pPr>
      <w:r w:rsidRPr="0046763F">
        <w:rPr>
          <w:rFonts w:ascii="Times New Roman" w:eastAsia="Times New Roman" w:hAnsi="Times New Roman" w:cs="Times New Roman"/>
          <w:b/>
          <w:bCs/>
          <w:color w:val="000000"/>
          <w:sz w:val="28"/>
          <w:szCs w:val="28"/>
          <w:lang w:eastAsia="ru-RU"/>
        </w:rPr>
        <w:t xml:space="preserve">Ознакомиться с полным текстом Правил рыболовства, можно на сайте </w:t>
      </w:r>
      <w:r w:rsidRPr="0046763F">
        <w:rPr>
          <w:rFonts w:ascii="Times New Roman" w:eastAsia="Times New Roman" w:hAnsi="Times New Roman" w:cs="Times New Roman"/>
          <w:b/>
          <w:bCs/>
          <w:sz w:val="28"/>
          <w:szCs w:val="28"/>
          <w:lang w:eastAsia="ru-RU"/>
        </w:rPr>
        <w:t>http://</w:t>
      </w:r>
      <w:hyperlink r:id="rId6" w:history="1">
        <w:r w:rsidRPr="0046763F">
          <w:rPr>
            <w:rFonts w:ascii="Times New Roman" w:eastAsia="Times New Roman" w:hAnsi="Times New Roman" w:cs="Times New Roman"/>
            <w:b/>
            <w:bCs/>
            <w:sz w:val="28"/>
            <w:szCs w:val="28"/>
            <w:lang w:eastAsia="ru-RU"/>
          </w:rPr>
          <w:t>www.noturfish.ru</w:t>
        </w:r>
      </w:hyperlink>
      <w:r w:rsidRPr="0046763F">
        <w:rPr>
          <w:rFonts w:ascii="Times New Roman" w:eastAsia="Times New Roman" w:hAnsi="Times New Roman" w:cs="Times New Roman"/>
          <w:b/>
          <w:bCs/>
          <w:sz w:val="28"/>
          <w:szCs w:val="28"/>
          <w:lang w:eastAsia="ru-RU"/>
        </w:rPr>
        <w:t xml:space="preserve"> в разделе</w:t>
      </w:r>
      <w:r w:rsidRPr="0046763F">
        <w:rPr>
          <w:rFonts w:ascii="Times New Roman" w:eastAsia="Times New Roman" w:hAnsi="Times New Roman" w:cs="Times New Roman"/>
          <w:b/>
          <w:bCs/>
          <w:color w:val="000000"/>
          <w:sz w:val="28"/>
          <w:szCs w:val="28"/>
          <w:lang w:eastAsia="ru-RU"/>
        </w:rPr>
        <w:t xml:space="preserve">: нормативная правовая база — Нормативные правовые акты Министерства сельского хозяйства – Правила рыболовства для Западно-Сибирского рыбохозяйственного бассейна или на странице социальной сети «В Контакте» сообщество «Рыбоохрана Югры» </w:t>
      </w:r>
      <w:r w:rsidRPr="0046763F">
        <w:rPr>
          <w:rFonts w:ascii="Times New Roman" w:eastAsia="Times New Roman" w:hAnsi="Times New Roman" w:cs="Times New Roman"/>
          <w:b/>
          <w:bCs/>
          <w:sz w:val="28"/>
          <w:szCs w:val="28"/>
          <w:lang w:eastAsia="ru-RU"/>
        </w:rPr>
        <w:t>(</w:t>
      </w:r>
      <w:hyperlink r:id="rId7" w:history="1">
        <w:r w:rsidRPr="0046763F">
          <w:rPr>
            <w:rFonts w:ascii="Times New Roman" w:eastAsia="Times New Roman" w:hAnsi="Times New Roman" w:cs="Times New Roman"/>
            <w:b/>
            <w:bCs/>
            <w:sz w:val="28"/>
            <w:szCs w:val="28"/>
            <w:lang w:eastAsia="ru-RU"/>
          </w:rPr>
          <w:t>https://vk.com/rybaohrana_ugra</w:t>
        </w:r>
      </w:hyperlink>
      <w:r w:rsidRPr="0046763F">
        <w:rPr>
          <w:rFonts w:ascii="Times New Roman" w:eastAsia="Times New Roman" w:hAnsi="Times New Roman" w:cs="Times New Roman"/>
          <w:b/>
          <w:bCs/>
          <w:sz w:val="28"/>
          <w:szCs w:val="28"/>
          <w:lang w:eastAsia="ru-RU"/>
        </w:rPr>
        <w:t xml:space="preserve">) раздел </w:t>
      </w:r>
      <w:r w:rsidRPr="0046763F">
        <w:rPr>
          <w:rFonts w:ascii="Times New Roman" w:eastAsia="Times New Roman" w:hAnsi="Times New Roman" w:cs="Times New Roman"/>
          <w:b/>
          <w:bCs/>
          <w:color w:val="000000"/>
          <w:sz w:val="28"/>
          <w:szCs w:val="28"/>
          <w:lang w:eastAsia="ru-RU"/>
        </w:rPr>
        <w:t>– Документы.</w:t>
      </w:r>
    </w:p>
    <w:p w14:paraId="5B09724B" w14:textId="0D95DCC1" w:rsidR="000D7883" w:rsidRPr="0046763F" w:rsidRDefault="00F83D9E" w:rsidP="005450C3">
      <w:pPr>
        <w:spacing w:after="0"/>
        <w:ind w:firstLine="709"/>
        <w:jc w:val="both"/>
        <w:rPr>
          <w:rFonts w:ascii="Times New Roman" w:hAnsi="Times New Roman" w:cs="Times New Roman"/>
          <w:sz w:val="28"/>
          <w:szCs w:val="28"/>
        </w:rPr>
      </w:pPr>
      <w:r w:rsidRPr="0046763F">
        <w:rPr>
          <w:rFonts w:ascii="Times New Roman" w:eastAsia="Times New Roman" w:hAnsi="Times New Roman" w:cs="Times New Roman"/>
          <w:b/>
          <w:bCs/>
          <w:color w:val="000000"/>
          <w:sz w:val="28"/>
          <w:szCs w:val="28"/>
          <w:lang w:eastAsia="ru-RU"/>
        </w:rPr>
        <w:t xml:space="preserve">В случае выявления признаков нарушения </w:t>
      </w:r>
      <w:r w:rsidR="006539D8" w:rsidRPr="0046763F">
        <w:rPr>
          <w:rFonts w:ascii="Times New Roman" w:eastAsia="Times New Roman" w:hAnsi="Times New Roman" w:cs="Times New Roman"/>
          <w:b/>
          <w:bCs/>
          <w:color w:val="000000"/>
          <w:sz w:val="28"/>
          <w:szCs w:val="28"/>
          <w:lang w:eastAsia="ru-RU"/>
        </w:rPr>
        <w:t>П</w:t>
      </w:r>
      <w:r w:rsidRPr="0046763F">
        <w:rPr>
          <w:rFonts w:ascii="Times New Roman" w:eastAsia="Times New Roman" w:hAnsi="Times New Roman" w:cs="Times New Roman"/>
          <w:b/>
          <w:bCs/>
          <w:color w:val="000000"/>
          <w:sz w:val="28"/>
          <w:szCs w:val="28"/>
          <w:lang w:eastAsia="ru-RU"/>
        </w:rPr>
        <w:t>равил рыболовства на территории Югры, обращаться в отдел государственного контроля, надзора, охраны водных биологических ресурсов и среды их обитания по Ханты-Мансийскому автономному округу – Югре 6280</w:t>
      </w:r>
      <w:r w:rsidR="00247637" w:rsidRPr="0046763F">
        <w:rPr>
          <w:rFonts w:ascii="Times New Roman" w:eastAsia="Times New Roman" w:hAnsi="Times New Roman" w:cs="Times New Roman"/>
          <w:b/>
          <w:bCs/>
          <w:color w:val="000000"/>
          <w:sz w:val="28"/>
          <w:szCs w:val="28"/>
          <w:lang w:eastAsia="ru-RU"/>
        </w:rPr>
        <w:t>02</w:t>
      </w:r>
      <w:r w:rsidRPr="0046763F">
        <w:rPr>
          <w:rFonts w:ascii="Times New Roman" w:eastAsia="Times New Roman" w:hAnsi="Times New Roman" w:cs="Times New Roman"/>
          <w:b/>
          <w:bCs/>
          <w:color w:val="000000"/>
          <w:sz w:val="28"/>
          <w:szCs w:val="28"/>
          <w:lang w:eastAsia="ru-RU"/>
        </w:rPr>
        <w:t>, г. Ханты-Мансийск, ул. Гагарина, д.</w:t>
      </w:r>
      <w:r w:rsidR="0020567F" w:rsidRPr="0046763F">
        <w:rPr>
          <w:rFonts w:ascii="Times New Roman" w:eastAsia="Times New Roman" w:hAnsi="Times New Roman" w:cs="Times New Roman"/>
          <w:b/>
          <w:bCs/>
          <w:color w:val="000000"/>
          <w:sz w:val="28"/>
          <w:szCs w:val="28"/>
          <w:lang w:eastAsia="ru-RU"/>
        </w:rPr>
        <w:t xml:space="preserve"> 186</w:t>
      </w:r>
      <w:r w:rsidRPr="0046763F">
        <w:rPr>
          <w:rFonts w:ascii="Times New Roman" w:eastAsia="Times New Roman" w:hAnsi="Times New Roman" w:cs="Times New Roman"/>
          <w:b/>
          <w:bCs/>
          <w:color w:val="000000"/>
          <w:sz w:val="28"/>
          <w:szCs w:val="28"/>
          <w:lang w:eastAsia="ru-RU"/>
        </w:rPr>
        <w:t xml:space="preserve">, телефон (3467) 33-67-93, </w:t>
      </w:r>
      <w:proofErr w:type="spellStart"/>
      <w:r w:rsidRPr="0046763F">
        <w:rPr>
          <w:rFonts w:ascii="Times New Roman" w:eastAsia="Times New Roman" w:hAnsi="Times New Roman" w:cs="Times New Roman"/>
          <w:b/>
          <w:bCs/>
          <w:color w:val="000000"/>
          <w:sz w:val="28"/>
          <w:szCs w:val="28"/>
          <w:lang w:eastAsia="ru-RU"/>
        </w:rPr>
        <w:t>e-mail</w:t>
      </w:r>
      <w:proofErr w:type="spellEnd"/>
      <w:r w:rsidRPr="0046763F">
        <w:rPr>
          <w:rFonts w:ascii="Times New Roman" w:eastAsia="Times New Roman" w:hAnsi="Times New Roman" w:cs="Times New Roman"/>
          <w:b/>
          <w:bCs/>
          <w:color w:val="000000"/>
          <w:sz w:val="28"/>
          <w:szCs w:val="28"/>
          <w:lang w:eastAsia="ru-RU"/>
        </w:rPr>
        <w:t xml:space="preserve">: </w:t>
      </w:r>
      <w:hyperlink r:id="rId8" w:history="1">
        <w:r w:rsidR="000D7883" w:rsidRPr="0046763F">
          <w:rPr>
            <w:rStyle w:val="a3"/>
            <w:rFonts w:ascii="Times New Roman" w:hAnsi="Times New Roman" w:cs="Times New Roman"/>
            <w:b/>
            <w:bCs/>
            <w:sz w:val="28"/>
            <w:szCs w:val="28"/>
          </w:rPr>
          <w:t>goscontrol86@tmn.fish.gov.ru</w:t>
        </w:r>
      </w:hyperlink>
    </w:p>
    <w:p w14:paraId="10B2BBB8" w14:textId="700AE14D" w:rsidR="00F83D9E" w:rsidRPr="002879B1" w:rsidRDefault="00F83D9E" w:rsidP="005450C3">
      <w:pPr>
        <w:spacing w:after="0"/>
        <w:ind w:firstLine="709"/>
        <w:jc w:val="both"/>
        <w:rPr>
          <w:rFonts w:ascii="Times New Roman" w:eastAsia="Times New Roman" w:hAnsi="Times New Roman" w:cs="Times New Roman"/>
          <w:b/>
          <w:bCs/>
          <w:color w:val="000000"/>
          <w:sz w:val="24"/>
          <w:szCs w:val="24"/>
          <w:lang w:eastAsia="ru-RU"/>
        </w:rPr>
      </w:pPr>
    </w:p>
    <w:p w14:paraId="6A6D5C84" w14:textId="314B4FD4" w:rsidR="00DA4ED8" w:rsidRPr="002879B1" w:rsidRDefault="00DA4ED8" w:rsidP="005450C3">
      <w:pPr>
        <w:spacing w:after="0"/>
        <w:ind w:firstLine="709"/>
        <w:jc w:val="both"/>
        <w:rPr>
          <w:rFonts w:ascii="Times New Roman" w:eastAsia="Times New Roman" w:hAnsi="Times New Roman" w:cs="Times New Roman"/>
          <w:b/>
          <w:bCs/>
          <w:color w:val="000000"/>
          <w:sz w:val="24"/>
          <w:szCs w:val="24"/>
          <w:lang w:eastAsia="ru-RU"/>
        </w:rPr>
      </w:pPr>
    </w:p>
    <w:p w14:paraId="31424BB6" w14:textId="77777777" w:rsidR="00DA4ED8" w:rsidRPr="00DA4ED8" w:rsidRDefault="00DA4ED8" w:rsidP="005450C3">
      <w:pPr>
        <w:spacing w:after="0"/>
        <w:ind w:firstLine="709"/>
        <w:jc w:val="both"/>
        <w:rPr>
          <w:rFonts w:ascii="Times New Roman" w:eastAsia="Times New Roman" w:hAnsi="Times New Roman" w:cs="Times New Roman"/>
          <w:color w:val="000000"/>
          <w:sz w:val="24"/>
          <w:szCs w:val="24"/>
          <w:lang w:eastAsia="ru-RU"/>
        </w:rPr>
      </w:pPr>
    </w:p>
    <w:p w14:paraId="33D829DB" w14:textId="55BBEB20" w:rsidR="00F83D9E" w:rsidRPr="00DA4ED8" w:rsidRDefault="00F83D9E" w:rsidP="00DA4ED8">
      <w:pPr>
        <w:spacing w:after="0"/>
        <w:jc w:val="both"/>
        <w:rPr>
          <w:rFonts w:ascii="Times New Roman" w:hAnsi="Times New Roman" w:cs="Times New Roman"/>
          <w:bCs/>
          <w:sz w:val="24"/>
          <w:szCs w:val="24"/>
          <w:lang w:eastAsia="ru-RU"/>
        </w:rPr>
      </w:pPr>
    </w:p>
    <w:sectPr w:rsidR="00F83D9E" w:rsidRPr="00DA4ED8" w:rsidSect="00DA4ED8">
      <w:pgSz w:w="11906" w:h="16838"/>
      <w:pgMar w:top="426" w:right="566"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25"/>
    <w:rsid w:val="00033C41"/>
    <w:rsid w:val="00034C6D"/>
    <w:rsid w:val="000532AD"/>
    <w:rsid w:val="00063DD7"/>
    <w:rsid w:val="0008044A"/>
    <w:rsid w:val="00090EBC"/>
    <w:rsid w:val="000D005E"/>
    <w:rsid w:val="000D7883"/>
    <w:rsid w:val="00134F3F"/>
    <w:rsid w:val="00173961"/>
    <w:rsid w:val="001C5C66"/>
    <w:rsid w:val="001F41B7"/>
    <w:rsid w:val="001F4477"/>
    <w:rsid w:val="0020567F"/>
    <w:rsid w:val="00235494"/>
    <w:rsid w:val="002433D4"/>
    <w:rsid w:val="00247637"/>
    <w:rsid w:val="00262A43"/>
    <w:rsid w:val="002873A9"/>
    <w:rsid w:val="002879B1"/>
    <w:rsid w:val="002913BF"/>
    <w:rsid w:val="00293A26"/>
    <w:rsid w:val="002B7D79"/>
    <w:rsid w:val="00334F62"/>
    <w:rsid w:val="00357ADE"/>
    <w:rsid w:val="0038682E"/>
    <w:rsid w:val="003B75B5"/>
    <w:rsid w:val="0046763F"/>
    <w:rsid w:val="004A1460"/>
    <w:rsid w:val="004B1C0C"/>
    <w:rsid w:val="004C3A2F"/>
    <w:rsid w:val="004D6084"/>
    <w:rsid w:val="004E46AF"/>
    <w:rsid w:val="0052497A"/>
    <w:rsid w:val="005303F2"/>
    <w:rsid w:val="00533560"/>
    <w:rsid w:val="005450C3"/>
    <w:rsid w:val="00565342"/>
    <w:rsid w:val="00597B73"/>
    <w:rsid w:val="005C7201"/>
    <w:rsid w:val="005F4625"/>
    <w:rsid w:val="006103F8"/>
    <w:rsid w:val="0062311B"/>
    <w:rsid w:val="00631DE8"/>
    <w:rsid w:val="00637F80"/>
    <w:rsid w:val="006539D8"/>
    <w:rsid w:val="00692C01"/>
    <w:rsid w:val="006B11E4"/>
    <w:rsid w:val="007229C4"/>
    <w:rsid w:val="0075559C"/>
    <w:rsid w:val="007B255C"/>
    <w:rsid w:val="007B729E"/>
    <w:rsid w:val="007D0B0F"/>
    <w:rsid w:val="008270D7"/>
    <w:rsid w:val="008A1596"/>
    <w:rsid w:val="008B7D1D"/>
    <w:rsid w:val="008C3876"/>
    <w:rsid w:val="008F4936"/>
    <w:rsid w:val="009002A9"/>
    <w:rsid w:val="009033C4"/>
    <w:rsid w:val="00905A3C"/>
    <w:rsid w:val="00942B9A"/>
    <w:rsid w:val="0099452E"/>
    <w:rsid w:val="00997728"/>
    <w:rsid w:val="009A76AC"/>
    <w:rsid w:val="00A075AF"/>
    <w:rsid w:val="00A5022A"/>
    <w:rsid w:val="00A81758"/>
    <w:rsid w:val="00AA0C25"/>
    <w:rsid w:val="00AD1577"/>
    <w:rsid w:val="00B1199B"/>
    <w:rsid w:val="00B33664"/>
    <w:rsid w:val="00B42B5B"/>
    <w:rsid w:val="00B85E14"/>
    <w:rsid w:val="00B92BCB"/>
    <w:rsid w:val="00BC5929"/>
    <w:rsid w:val="00D82569"/>
    <w:rsid w:val="00DA4ED8"/>
    <w:rsid w:val="00DC6B3E"/>
    <w:rsid w:val="00DF2269"/>
    <w:rsid w:val="00E70DC2"/>
    <w:rsid w:val="00EA7B22"/>
    <w:rsid w:val="00EC099D"/>
    <w:rsid w:val="00ED0AF1"/>
    <w:rsid w:val="00EE1EBF"/>
    <w:rsid w:val="00EE55C5"/>
    <w:rsid w:val="00F057A9"/>
    <w:rsid w:val="00F10AB0"/>
    <w:rsid w:val="00F35FE7"/>
    <w:rsid w:val="00F83D9E"/>
    <w:rsid w:val="00F9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AAFD"/>
  <w15:docId w15:val="{C3DDBCC5-18C3-449F-8002-BE332F6D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41"/>
    <w:rPr>
      <w:color w:val="0000FF" w:themeColor="hyperlink"/>
      <w:u w:val="single"/>
    </w:rPr>
  </w:style>
  <w:style w:type="paragraph" w:customStyle="1" w:styleId="ConsPlusNormal">
    <w:name w:val="ConsPlusNormal"/>
    <w:rsid w:val="00F96D38"/>
    <w:pPr>
      <w:widowControl w:val="0"/>
      <w:autoSpaceDE w:val="0"/>
      <w:autoSpaceDN w:val="0"/>
      <w:spacing w:after="0" w:line="240" w:lineRule="auto"/>
    </w:pPr>
    <w:rPr>
      <w:rFonts w:ascii="Calibri" w:eastAsia="Times New Roman" w:hAnsi="Calibri" w:cs="Calibri"/>
      <w:szCs w:val="20"/>
      <w:lang w:eastAsia="ru-RU"/>
    </w:rPr>
  </w:style>
  <w:style w:type="character" w:styleId="a4">
    <w:name w:val="FollowedHyperlink"/>
    <w:basedOn w:val="a0"/>
    <w:uiPriority w:val="99"/>
    <w:semiHidden/>
    <w:unhideWhenUsed/>
    <w:rsid w:val="00B42B5B"/>
    <w:rPr>
      <w:color w:val="800080" w:themeColor="followedHyperlink"/>
      <w:u w:val="single"/>
    </w:rPr>
  </w:style>
  <w:style w:type="paragraph" w:styleId="a5">
    <w:name w:val="Balloon Text"/>
    <w:basedOn w:val="a"/>
    <w:link w:val="a6"/>
    <w:uiPriority w:val="99"/>
    <w:semiHidden/>
    <w:unhideWhenUsed/>
    <w:rsid w:val="00942B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2B9A"/>
    <w:rPr>
      <w:rFonts w:ascii="Tahoma" w:hAnsi="Tahoma" w:cs="Tahoma"/>
      <w:sz w:val="16"/>
      <w:szCs w:val="16"/>
    </w:rPr>
  </w:style>
  <w:style w:type="paragraph" w:customStyle="1" w:styleId="ConsPlusTitle">
    <w:name w:val="ConsPlusTitle"/>
    <w:uiPriority w:val="99"/>
    <w:rsid w:val="00E70DC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7">
    <w:name w:val="Unresolved Mention"/>
    <w:basedOn w:val="a0"/>
    <w:uiPriority w:val="99"/>
    <w:semiHidden/>
    <w:unhideWhenUsed/>
    <w:rsid w:val="00DA4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67440">
      <w:bodyDiv w:val="1"/>
      <w:marLeft w:val="0"/>
      <w:marRight w:val="0"/>
      <w:marTop w:val="0"/>
      <w:marBottom w:val="0"/>
      <w:divBdr>
        <w:top w:val="none" w:sz="0" w:space="0" w:color="auto"/>
        <w:left w:val="none" w:sz="0" w:space="0" w:color="auto"/>
        <w:bottom w:val="none" w:sz="0" w:space="0" w:color="auto"/>
        <w:right w:val="none" w:sz="0" w:space="0" w:color="auto"/>
      </w:divBdr>
    </w:div>
    <w:div w:id="21243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control86@tmn.fish.gov.ru" TargetMode="External"/><Relationship Id="rId3" Type="http://schemas.openxmlformats.org/officeDocument/2006/relationships/settings" Target="settings.xml"/><Relationship Id="rId7" Type="http://schemas.openxmlformats.org/officeDocument/2006/relationships/hyperlink" Target="https://vk.com/rybaohrana_ug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turfish.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F2EC-C403-4545-AF64-24E0626B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hmao812018</dc:creator>
  <cp:keywords/>
  <dc:description/>
  <cp:lastModifiedBy>User</cp:lastModifiedBy>
  <cp:revision>2</cp:revision>
  <cp:lastPrinted>2021-11-24T06:35:00Z</cp:lastPrinted>
  <dcterms:created xsi:type="dcterms:W3CDTF">2024-11-29T05:07:00Z</dcterms:created>
  <dcterms:modified xsi:type="dcterms:W3CDTF">2024-11-29T05:07:00Z</dcterms:modified>
</cp:coreProperties>
</file>