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18"/>
        <w:tblW w:w="0" w:type="auto"/>
        <w:tblLayout w:type="fixed"/>
        <w:tblLook w:val="04A0" w:firstRow="1" w:lastRow="0" w:firstColumn="1" w:lastColumn="0" w:noHBand="0" w:noVBand="1"/>
      </w:tblPr>
      <w:tblGrid>
        <w:gridCol w:w="7620"/>
      </w:tblGrid>
      <w:tr>
        <w:trPr>
          <w:trHeight w:val="1158"/>
        </w:trPr>
        <w:tc>
          <w:tcPr>
            <w:tcW w:w="7620" w:type="dxa"/>
            <w:textDirection w:val="lrTb"/>
            <w:noWrap w:val="false"/>
          </w:tcPr>
          <w:p>
            <w:pPr>
              <w:jc w:val="left"/>
              <w:rPr>
                <w:rFonts w:ascii="Calibri" w:hAnsi="Calibri" w:cs="Calibri"/>
                <w:b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b/>
                <w:color w:val="538135" w:themeColor="accent6" w:themeShade="BF"/>
                <w:sz w:val="22"/>
                <w:szCs w:val="22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3397590</wp:posOffset>
                      </wp:positionH>
                      <wp:positionV relativeFrom="paragraph">
                        <wp:posOffset>61595</wp:posOffset>
                      </wp:positionV>
                      <wp:extent cx="1379940" cy="920129"/>
                      <wp:effectExtent l="44450" t="44450" r="44450" b="44450"/>
                      <wp:wrapTight wrapText="bothSides">
                        <wp:wrapPolygon edited="1">
                          <wp:start x="-1666" y="-2856"/>
                          <wp:lineTo x="-2143" y="3570"/>
                          <wp:lineTo x="-2143" y="18565"/>
                          <wp:lineTo x="-952" y="20707"/>
                          <wp:lineTo x="1190" y="23564"/>
                          <wp:lineTo x="1428" y="24278"/>
                          <wp:lineTo x="22378" y="24278"/>
                          <wp:lineTo x="22616" y="23564"/>
                          <wp:lineTo x="23330" y="20707"/>
                          <wp:lineTo x="23330" y="3570"/>
                          <wp:lineTo x="20473" y="-1785"/>
                          <wp:lineTo x="20235" y="-2856"/>
                          <wp:lineTo x="-1666" y="-2856"/>
                        </wp:wrapPolygon>
                      </wp:wrapTight>
                      <wp:docPr id="3" name="Рисунок 1" descr="https://volyn.com.ua/content/thumbs/1500x1000/h/xw/wlid3h-oqw3pgjbbsq2g32fniaym7yctna47xw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6654697" name="Picture 1" descr="https://volyn.com.ua/content/thumbs/1500x1000/h/xw/wlid3h-oqw3pgjbbsq2g32fniaym7yctna47xwh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379939" cy="920128"/>
                              </a:xfrm>
                              <a:prstGeom prst="snip2DiagRect">
                                <a:avLst>
                                  <a:gd name="adj1" fmla="val 0"/>
                                  <a:gd name="adj2" fmla="val 16667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88900" algn="tl" rotWithShape="0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-251662336;o:allowoverlap:true;o:allowincell:true;mso-position-horizontal-relative:page;margin-left:267.5pt;mso-position-horizontal:absolute;mso-position-vertical-relative:text;margin-top:4.8pt;mso-position-vertical:absolute;width:108.7pt;height:72.5pt;mso-wrap-distance-left:9.0pt;mso-wrap-distance-top:0.0pt;mso-wrap-distance-right:9.0pt;mso-wrap-distance-bottom:0.0pt;rotation:0;" wrapcoords="-7712 -13221 -9920 16528 -9920 85949 -4406 95866 5509 109093 6611 112398 103602 112398 104704 109093 108009 95866 108009 16528 94782 -8263 93681 -13221 -7712 -13221" strokecolor="#FFFFFF" strokeweight="7.00pt">
                      <v:path textboxrect="5555,8331,94442,91663"/>
                      <w10:wrap type="tight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Памятка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охотпользователям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по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предупреждению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возникновения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и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распространения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br/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африканской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чумы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свиней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среди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диких</w:t>
            </w:r>
            <w:r>
              <w:rPr>
                <w:rFonts w:ascii="Algerian" w:hAnsi="Algerian" w:cs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70c0"/>
                <w:sz w:val="22"/>
                <w:szCs w:val="22"/>
              </w:rPr>
              <w:t xml:space="preserve">каб</w:t>
            </w: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 xml:space="preserve">анов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4"/>
                <w:szCs w:val="24"/>
              </w:rPr>
              <w:t xml:space="preserve">В целях недопущения заноса вируса </w:t>
            </w:r>
            <w:r>
              <w:rPr>
                <w:b/>
                <w:i/>
                <w:iCs/>
                <w:sz w:val="24"/>
                <w:szCs w:val="24"/>
              </w:rPr>
              <w:t xml:space="preserve">АЧС и распространения инфекции</w:t>
            </w:r>
            <w:r>
              <w:rPr>
                <w:rFonts w:ascii="Calibri" w:hAnsi="Calibri" w:cs="Calibri"/>
                <w:b/>
                <w:i/>
                <w:iCs/>
                <w:color w:val="0070c0"/>
                <w:sz w:val="24"/>
                <w:szCs w:val="24"/>
                <w:highlight w:val="none"/>
              </w:rPr>
              <w:t xml:space="preserve">, </w:t>
            </w:r>
            <w:r>
              <w:rPr>
                <w:b/>
                <w:i/>
                <w:iCs/>
                <w:sz w:val="24"/>
                <w:szCs w:val="24"/>
              </w:rPr>
              <w:t xml:space="preserve">необходимо придерживаться следующих правил:</w:t>
            </w:r>
            <w: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b/>
                <w:bCs/>
                <w:i/>
                <w:sz w:val="22"/>
                <w:szCs w:val="22"/>
                <w:highlight w:val="none"/>
              </w:rPr>
            </w:pPr>
            <w:r>
              <w:rPr>
                <w:b/>
                <w:i/>
                <w:iCs/>
                <w:sz w:val="22"/>
                <w:szCs w:val="22"/>
                <w:highlight w:val="none"/>
              </w:rPr>
            </w:r>
            <w:r>
              <w:rPr>
                <w:b/>
                <w:i/>
                <w:iCs/>
                <w:sz w:val="22"/>
                <w:szCs w:val="22"/>
                <w:highlight w:val="none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Не сбрасывайте отходы разделки добытых животных в лесу, на обочины дорог, свалки,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а утилизируйте в строго отведённых местах;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 Не скармливайте домашним свиньям остатки продуктов убоя диких свиней и остатки изготовленных из них продуктов;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Не допускайте контакта диких и домашних свиней;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Максимально исключите контакт домашних свиней с охотничьей одеждой;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Предоставлять </w:t>
            </w:r>
            <w:r>
              <w:rPr>
                <w:i/>
                <w:iCs/>
                <w:sz w:val="22"/>
                <w:szCs w:val="22"/>
              </w:rPr>
              <w:t xml:space="preserve">добытых кабанов</w:t>
            </w:r>
            <w:r>
              <w:rPr>
                <w:i/>
                <w:iCs/>
                <w:sz w:val="22"/>
                <w:szCs w:val="22"/>
              </w:rPr>
              <w:t xml:space="preserve"> специалистам БУ «Ветеринарный центр» для проведение ветеринарно-санитарной экспертизы;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ри транспортировке туш добытых кабанов до мест централизованной разделки использовать приспособления, в целях недопущения попадания крови или естественных выделений животных на землю </w:t>
            </w:r>
            <w:r>
              <w:rPr>
                <w:i/>
                <w:iCs/>
                <w:sz w:val="22"/>
                <w:szCs w:val="22"/>
              </w:rPr>
              <w:t xml:space="preserve">или различные поверхности транспортных средств.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 случае выявления трупов диких кабанов или животных, поведение которых не соответствует их естественным поведенческим рефлексам, </w:t>
            </w:r>
            <w:r>
              <w:rPr>
                <w:i/>
                <w:iCs/>
                <w:sz w:val="22"/>
                <w:szCs w:val="22"/>
              </w:rPr>
              <w:t xml:space="preserve">а также в случае отстрела животных с такими признаками необходимо </w:t>
            </w:r>
            <w:r>
              <w:rPr>
                <w:b/>
                <w:i/>
                <w:iCs/>
                <w:sz w:val="22"/>
                <w:szCs w:val="22"/>
              </w:rPr>
              <w:t xml:space="preserve">немедленно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обращаться к ветеринарным специалистам территориальных филиалов бюджетного учреждения «Ветеринарный центр»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для отбора проб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/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телефонов круглосуточной «горячей линии»:</w:t>
            </w:r>
            <w:r>
              <w:rPr>
                <w:b/>
                <w:bCs/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В Ханты-Мансийском районе: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65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Нефтеюганске: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 (3463) 29-38-77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Нягани и Октябрьском районе: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8-908-887-83-80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Кондинском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8-904-465-20-90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Советский:  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8-922-792-91-93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Сургуте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Сургутском районе: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(3462)31-89-02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 г. Нижневартовске и Нижневартовском районе:    </w:t>
            </w:r>
            <w:r>
              <w:rPr>
                <w:rFonts w:ascii="Times New Roman" w:hAnsi="Times New Roman" w:cs="Times New Roman"/>
              </w:rPr>
              <w:t xml:space="preserve">8-922-255-14-02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Белоярский: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8-950-532-14-88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Берёзовском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8-908-884-89-28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</w:r>
            <w:r/>
          </w:p>
        </w:tc>
      </w:tr>
    </w:tbl>
    <w:p>
      <w:pPr>
        <w:jc w:val="left"/>
        <w:rPr>
          <w:rFonts w:ascii="Algerian" w:hAnsi="Algerian" w:cs="Times New Roman"/>
          <w:b/>
          <w:bCs/>
          <w:i/>
          <w:color w:val="395623" w:themeColor="accent6" w:themeShade="80"/>
          <w:sz w:val="28"/>
          <w:szCs w:val="28"/>
          <w:highlight w:val="none"/>
        </w:rPr>
      </w:pPr>
      <w:r>
        <w:rPr>
          <w:rFonts w:ascii="Cambria" w:hAnsi="Cambria" w:cs="Cambria"/>
          <w:b/>
          <w:i/>
          <w:color w:val="385623" w:themeColor="accent6" w:themeShade="80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-409" w:right="536" w:bottom="15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20705040A02060702"/>
  </w:font>
  <w:font w:name="Cambria">
    <w:panose1 w:val="0204050305040603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1" name="PowerPlusWaterMarkObject613855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  <w14:round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2" o:spid="_x0000_s0" o:spt="1" type="#_x0000_t1" style="position:absolute;z-index:-251655168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  <w14:round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2" name="PowerPlusWaterMarkObject613855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1" o:spid="_x0000_s1" o:spt="1" type="#_x0000_t1" style="position:absolute;z-index:-251657216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1"/>
    <w:next w:val="911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2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1"/>
    <w:next w:val="911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2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1"/>
    <w:next w:val="911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2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1"/>
    <w:next w:val="911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2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1"/>
    <w:next w:val="911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2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2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2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1"/>
    <w:next w:val="91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2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1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1"/>
    <w:next w:val="91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2"/>
    <w:link w:val="756"/>
    <w:uiPriority w:val="10"/>
    <w:rPr>
      <w:sz w:val="48"/>
      <w:szCs w:val="48"/>
    </w:rPr>
  </w:style>
  <w:style w:type="paragraph" w:styleId="758">
    <w:name w:val="Subtitle"/>
    <w:basedOn w:val="911"/>
    <w:next w:val="911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2"/>
    <w:link w:val="758"/>
    <w:uiPriority w:val="11"/>
    <w:rPr>
      <w:sz w:val="24"/>
      <w:szCs w:val="24"/>
    </w:rPr>
  </w:style>
  <w:style w:type="paragraph" w:styleId="760">
    <w:name w:val="Quote"/>
    <w:basedOn w:val="911"/>
    <w:next w:val="911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1"/>
    <w:next w:val="91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2"/>
    <w:link w:val="921"/>
    <w:uiPriority w:val="99"/>
  </w:style>
  <w:style w:type="character" w:styleId="765">
    <w:name w:val="Footer Char"/>
    <w:basedOn w:val="912"/>
    <w:link w:val="923"/>
    <w:uiPriority w:val="99"/>
  </w:style>
  <w:style w:type="paragraph" w:styleId="766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3"/>
    <w:uiPriority w:val="99"/>
  </w:style>
  <w:style w:type="table" w:styleId="76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2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Normal (Web)"/>
    <w:basedOn w:val="9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apple-converted-space"/>
    <w:basedOn w:val="912"/>
  </w:style>
  <w:style w:type="character" w:styleId="917">
    <w:name w:val="Strong"/>
    <w:basedOn w:val="912"/>
    <w:qFormat/>
    <w:rPr>
      <w:b/>
      <w:bCs/>
    </w:rPr>
  </w:style>
  <w:style w:type="table" w:styleId="918">
    <w:name w:val="Table Grid"/>
    <w:basedOn w:val="91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>
    <w:name w:val="Balloon Text"/>
    <w:basedOn w:val="911"/>
    <w:link w:val="9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912"/>
    <w:link w:val="919"/>
    <w:uiPriority w:val="99"/>
    <w:semiHidden/>
    <w:rPr>
      <w:rFonts w:ascii="Segoe UI" w:hAnsi="Segoe UI" w:cs="Segoe UI"/>
      <w:sz w:val="18"/>
      <w:szCs w:val="18"/>
    </w:rPr>
  </w:style>
  <w:style w:type="paragraph" w:styleId="921">
    <w:name w:val="Header"/>
    <w:basedOn w:val="91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912"/>
    <w:link w:val="921"/>
    <w:uiPriority w:val="99"/>
  </w:style>
  <w:style w:type="paragraph" w:styleId="923">
    <w:name w:val="Footer"/>
    <w:basedOn w:val="911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912"/>
    <w:link w:val="92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тражение">
      <a:fillStyleLst>
        <a:solidFill>
          <a:schemeClr val="phClr"/>
        </a:solidFill>
        <a:gradFill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7244-34D5-4337-BA12-3240062D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6</cp:revision>
  <dcterms:created xsi:type="dcterms:W3CDTF">2023-04-21T05:17:00Z</dcterms:created>
  <dcterms:modified xsi:type="dcterms:W3CDTF">2025-08-08T07:08:57Z</dcterms:modified>
</cp:coreProperties>
</file>