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Style w:val="942"/>
          <w:rFonts w:ascii="PT Astra Serif" w:hAnsi="PT Astra Serif"/>
          <w:color w:val="000000"/>
          <w:sz w:val="28"/>
        </w:rPr>
        <w:outlineLvl w:val="0"/>
      </w:pPr>
      <w:r/>
      <w:bookmarkStart w:id="1" w:name="OLE_LINK4"/>
      <w:r>
        <w:rPr>
          <w:rStyle w:val="942"/>
          <w:rFonts w:ascii="PT Astra Serif" w:hAnsi="PT Astra Serif"/>
          <w:color w:val="000000"/>
          <w:sz w:val="28"/>
        </w:rPr>
        <w:t xml:space="preserve">Информационное сообщение </w:t>
      </w:r>
      <w:r>
        <w:rPr>
          <w:rStyle w:val="942"/>
          <w:rFonts w:ascii="PT Astra Serif" w:hAnsi="PT Astra Serif"/>
          <w:color w:val="000000"/>
          <w:sz w:val="28"/>
        </w:rPr>
      </w:r>
      <w:r>
        <w:rPr>
          <w:rStyle w:val="942"/>
          <w:rFonts w:ascii="PT Astra Serif" w:hAnsi="PT Astra Serif"/>
          <w:color w:val="000000"/>
          <w:sz w:val="28"/>
        </w:rPr>
      </w:r>
    </w:p>
    <w:p>
      <w:pPr>
        <w:jc w:val="center"/>
        <w:rPr>
          <w:rStyle w:val="942"/>
          <w:rFonts w:ascii="PT Astra Serif" w:hAnsi="PT Astra Serif"/>
          <w:color w:val="000000"/>
          <w:sz w:val="28"/>
        </w:rPr>
      </w:pPr>
      <w:r>
        <w:rPr>
          <w:rStyle w:val="942"/>
          <w:rFonts w:ascii="PT Astra Serif" w:hAnsi="PT Astra Serif"/>
          <w:color w:val="000000"/>
          <w:sz w:val="28"/>
        </w:rPr>
      </w:r>
      <w:r>
        <w:rPr>
          <w:rStyle w:val="942"/>
          <w:rFonts w:ascii="PT Astra Serif" w:hAnsi="PT Astra Serif"/>
          <w:color w:val="auto"/>
          <w:sz w:val="28"/>
          <w:szCs w:val="28"/>
        </w:rPr>
        <w:t xml:space="preserve">о </w:t>
      </w:r>
      <w:r>
        <w:rPr>
          <w:rStyle w:val="942"/>
          <w:rFonts w:ascii="Times New Roman" w:hAnsi="Times New Roman"/>
          <w:color w:val="000000"/>
          <w:sz w:val="28"/>
          <w:szCs w:val="22"/>
        </w:rPr>
        <w:t xml:space="preserve"> продаже посредством публичного предложения</w:t>
      </w:r>
      <w:r>
        <w:rPr>
          <w:rStyle w:val="942"/>
          <w:rFonts w:ascii="PT Astra Serif" w:hAnsi="PT Astra Serif"/>
          <w:color w:val="000000"/>
          <w:sz w:val="28"/>
        </w:rPr>
      </w:r>
      <w:r>
        <w:rPr>
          <w:rStyle w:val="942"/>
          <w:rFonts w:ascii="PT Astra Serif" w:hAnsi="PT Astra Serif"/>
          <w:color w:val="000000"/>
          <w:sz w:val="28"/>
        </w:rPr>
      </w:r>
    </w:p>
    <w:p>
      <w:pPr>
        <w:jc w:val="center"/>
        <w:rPr>
          <w:rStyle w:val="942"/>
          <w:rFonts w:ascii="PT Astra Serif" w:hAnsi="PT Astra Serif"/>
          <w:color w:val="000000"/>
          <w:sz w:val="28"/>
        </w:rPr>
      </w:pPr>
      <w:r>
        <w:rPr>
          <w:rStyle w:val="942"/>
          <w:rFonts w:ascii="PT Astra Serif" w:hAnsi="PT Astra Serif"/>
          <w:color w:val="000000"/>
          <w:sz w:val="28"/>
        </w:rPr>
        <w:t xml:space="preserve">объектов недвижимого и движимого имущества (хлебопекарня),</w:t>
      </w:r>
      <w:r>
        <w:rPr>
          <w:rStyle w:val="942"/>
          <w:rFonts w:ascii="PT Astra Serif" w:hAnsi="PT Astra Serif"/>
          <w:color w:val="000000"/>
          <w:sz w:val="28"/>
        </w:rPr>
      </w:r>
      <w:r>
        <w:rPr>
          <w:rStyle w:val="942"/>
          <w:rFonts w:ascii="PT Astra Serif" w:hAnsi="PT Astra Serif"/>
          <w:color w:val="000000"/>
          <w:sz w:val="28"/>
        </w:rPr>
      </w:r>
    </w:p>
    <w:p>
      <w:pPr>
        <w:jc w:val="center"/>
        <w:rPr>
          <w:rStyle w:val="942"/>
          <w:rFonts w:ascii="PT Astra Serif" w:hAnsi="PT Astra Serif"/>
          <w:color w:val="000000"/>
          <w:sz w:val="28"/>
        </w:rPr>
      </w:pPr>
      <w:r>
        <w:rPr>
          <w:rStyle w:val="942"/>
          <w:rFonts w:ascii="PT Astra Serif" w:hAnsi="PT Astra Serif"/>
          <w:color w:val="000000"/>
          <w:sz w:val="28"/>
        </w:rPr>
        <w:t xml:space="preserve">расположенного по адресу: </w:t>
      </w:r>
      <w:r>
        <w:rPr>
          <w:rStyle w:val="942"/>
          <w:rFonts w:ascii="PT Astra Serif" w:hAnsi="PT Astra Serif"/>
          <w:color w:val="000000"/>
          <w:sz w:val="28"/>
        </w:rPr>
        <w:t xml:space="preserve">ХМАО-Югра, с. Перегребное, ул. Советская, д.21</w:t>
      </w:r>
      <w:r>
        <w:rPr>
          <w:rStyle w:val="942"/>
          <w:rFonts w:ascii="PT Astra Serif" w:hAnsi="PT Astra Serif"/>
          <w:color w:val="000000"/>
          <w:sz w:val="28"/>
        </w:rPr>
      </w:r>
      <w:r>
        <w:rPr>
          <w:rStyle w:val="942"/>
          <w:rFonts w:ascii="PT Astra Serif" w:hAnsi="PT Astra Serif"/>
          <w:color w:val="000000"/>
          <w:sz w:val="28"/>
        </w:rPr>
      </w:r>
    </w:p>
    <w:p>
      <w:pPr>
        <w:jc w:val="center"/>
        <w:rPr>
          <w:rStyle w:val="942"/>
          <w:rFonts w:ascii="PT Astra Serif" w:hAnsi="PT Astra Serif"/>
          <w:color w:val="000000"/>
          <w:sz w:val="28"/>
        </w:rPr>
        <w:outlineLvl w:val="0"/>
      </w:pPr>
      <w:r>
        <w:rPr>
          <w:rFonts w:ascii="PT Astra Serif" w:hAnsi="PT Astra Serif"/>
          <w:color w:val="000000"/>
          <w:sz w:val="28"/>
        </w:rPr>
      </w:r>
      <w:r>
        <w:rPr>
          <w:rStyle w:val="942"/>
          <w:rFonts w:ascii="PT Astra Serif" w:hAnsi="PT Astra Serif"/>
          <w:color w:val="000000"/>
          <w:sz w:val="28"/>
        </w:rPr>
      </w:r>
      <w:r>
        <w:rPr>
          <w:rStyle w:val="942"/>
          <w:rFonts w:ascii="PT Astra Serif" w:hAnsi="PT Astra Serif"/>
          <w:color w:val="000000"/>
          <w:sz w:val="28"/>
        </w:rPr>
      </w:r>
    </w:p>
    <w:p>
      <w:pPr>
        <w:numPr>
          <w:ilvl w:val="0"/>
          <w:numId w:val="35"/>
        </w:numPr>
        <w:ind w:left="0" w:firstLine="0"/>
        <w:jc w:val="both"/>
        <w:rPr>
          <w:rFonts w:eastAsia="Calibri"/>
          <w:color w:val="000000"/>
          <w:lang w:eastAsia="en-US"/>
        </w:rPr>
      </w:pPr>
      <w:r>
        <w:rPr>
          <w:rFonts w:eastAsia="Calibri"/>
          <w:b/>
          <w:bCs/>
          <w:color w:val="000000"/>
          <w:lang w:eastAsia="en-US"/>
        </w:rPr>
        <w:t xml:space="preserve">Наименование конкурентной процедуры: </w:t>
      </w:r>
      <w:r>
        <w:rPr>
          <w:rFonts w:eastAsia="Calibri"/>
          <w:bCs/>
          <w:color w:val="000000"/>
          <w:lang w:eastAsia="en-US"/>
        </w:rPr>
        <w:t xml:space="preserve">открытое публичное предложение в электронной форме по продаже имущества.</w:t>
      </w:r>
      <w:r>
        <w:rPr>
          <w:rFonts w:eastAsia="Calibri"/>
          <w:color w:val="000000"/>
          <w:lang w:eastAsia="en-US"/>
        </w:rPr>
      </w:r>
      <w:r>
        <w:rPr>
          <w:rFonts w:eastAsia="Calibri"/>
          <w:color w:val="000000"/>
          <w:lang w:eastAsia="en-US"/>
        </w:rPr>
      </w:r>
    </w:p>
    <w:p>
      <w:pPr>
        <w:numPr>
          <w:ilvl w:val="0"/>
          <w:numId w:val="35"/>
        </w:numPr>
        <w:contextualSpacing/>
        <w:ind w:left="0" w:firstLine="0"/>
        <w:jc w:val="both"/>
        <w:rPr>
          <w:bCs/>
        </w:rPr>
      </w:pPr>
      <w:r>
        <w:rPr>
          <w:b/>
          <w:bCs/>
        </w:rPr>
        <w:t xml:space="preserve">Сведения о продавце (собственнике) имущества: </w:t>
      </w:r>
      <w:r>
        <w:rPr>
          <w:bCs/>
        </w:rPr>
        <w:t xml:space="preserve">ООО «Газпром трансгаз Югорск».</w:t>
      </w:r>
      <w:r>
        <w:rPr>
          <w:bCs/>
        </w:rPr>
      </w:r>
      <w:r>
        <w:rPr>
          <w:bCs/>
        </w:rPr>
      </w:r>
    </w:p>
    <w:p>
      <w:pPr>
        <w:jc w:val="both"/>
        <w:rPr>
          <w:bCs/>
          <w:i/>
        </w:rPr>
      </w:pPr>
      <w:r>
        <w:rPr>
          <w:bCs/>
          <w:i/>
        </w:rPr>
        <w:t xml:space="preserve">Контактные данные:</w:t>
      </w:r>
      <w:r>
        <w:rPr>
          <w:bCs/>
          <w:i/>
        </w:rPr>
      </w:r>
      <w:r>
        <w:rPr>
          <w:bCs/>
          <w:i/>
        </w:rPr>
      </w:r>
    </w:p>
    <w:p>
      <w:pPr>
        <w:jc w:val="both"/>
        <w:rPr>
          <w:bCs/>
        </w:rPr>
      </w:pPr>
      <w:r>
        <w:rPr>
          <w:bCs/>
        </w:rPr>
        <w:t xml:space="preserve">Новикова Эльмира Раисовна, </w:t>
      </w:r>
      <w:r>
        <w:rPr>
          <w:bCs/>
        </w:rPr>
      </w:r>
      <w:r>
        <w:rPr>
          <w:bCs/>
        </w:rPr>
      </w:r>
    </w:p>
    <w:p>
      <w:pPr>
        <w:jc w:val="both"/>
        <w:rPr>
          <w:bCs/>
        </w:rPr>
      </w:pPr>
      <w:r>
        <w:rPr>
          <w:bCs/>
        </w:rPr>
        <w:t xml:space="preserve">тел.:</w:t>
      </w:r>
      <w:r>
        <w:rPr>
          <w:bCs/>
        </w:rPr>
        <w:t xml:space="preserve"> </w:t>
      </w:r>
      <w:r>
        <w:rPr>
          <w:bCs/>
        </w:rPr>
        <w:t xml:space="preserve">+7 (34675) 2-23-07, +7</w:t>
      </w:r>
      <w:r>
        <w:rPr>
          <w:bCs/>
          <w:lang w:val="en-US"/>
        </w:rPr>
        <w:t xml:space="preserve"> </w:t>
      </w:r>
      <w:r>
        <w:rPr>
          <w:bCs/>
        </w:rPr>
        <w:t xml:space="preserve">927 088 15 35,</w:t>
      </w:r>
      <w:r>
        <w:rPr>
          <w:bCs/>
        </w:rPr>
      </w:r>
      <w:r>
        <w:rPr>
          <w:bCs/>
        </w:rPr>
      </w:r>
    </w:p>
    <w:p>
      <w:pPr>
        <w:jc w:val="both"/>
        <w:rPr>
          <w:bCs/>
        </w:rPr>
      </w:pPr>
      <w:r>
        <w:rPr>
          <w:bCs/>
        </w:rPr>
        <w:t xml:space="preserve">эл.</w:t>
      </w:r>
      <w:r>
        <w:rPr>
          <w:bCs/>
        </w:rPr>
        <w:t xml:space="preserve"> </w:t>
      </w:r>
      <w:r>
        <w:rPr>
          <w:bCs/>
        </w:rPr>
        <w:t xml:space="preserve">адрес: </w:t>
      </w:r>
      <w:r>
        <w:rPr>
          <w:bCs/>
          <w:lang w:val="en-US"/>
        </w:rPr>
        <w:t xml:space="preserve">ER</w:t>
      </w:r>
      <w:r>
        <w:rPr>
          <w:bCs/>
        </w:rPr>
        <w:t xml:space="preserve">.</w:t>
      </w:r>
      <w:r>
        <w:rPr>
          <w:bCs/>
          <w:lang w:val="en-US"/>
        </w:rPr>
        <w:t xml:space="preserve">Novikova</w:t>
      </w:r>
      <w:r>
        <w:rPr>
          <w:bCs/>
        </w:rPr>
        <w:t xml:space="preserve">@</w:t>
      </w:r>
      <w:r>
        <w:rPr>
          <w:bCs/>
          <w:lang w:val="en-US"/>
        </w:rPr>
        <w:t xml:space="preserve">ttg</w:t>
      </w:r>
      <w:r>
        <w:rPr>
          <w:bCs/>
        </w:rPr>
        <w:t xml:space="preserve">.</w:t>
      </w:r>
      <w:r>
        <w:rPr>
          <w:bCs/>
          <w:lang w:val="en-US"/>
        </w:rPr>
        <w:t xml:space="preserve">gazprom</w:t>
      </w:r>
      <w:r>
        <w:rPr>
          <w:bCs/>
        </w:rPr>
        <w:t xml:space="preserve">.</w:t>
      </w:r>
      <w:r>
        <w:rPr>
          <w:bCs/>
          <w:lang w:val="en-US"/>
        </w:rPr>
        <w:t xml:space="preserve">ru</w:t>
      </w:r>
      <w:r>
        <w:rPr>
          <w:bCs/>
        </w:rPr>
        <w:t xml:space="preserve">.</w:t>
      </w:r>
      <w:r>
        <w:rPr>
          <w:bCs/>
        </w:rPr>
      </w:r>
      <w:r>
        <w:rPr>
          <w:bCs/>
        </w:rPr>
      </w:r>
    </w:p>
    <w:p>
      <w:pPr>
        <w:ind w:firstLine="709"/>
        <w:jc w:val="both"/>
        <w:rPr>
          <w:bCs/>
        </w:rPr>
      </w:pPr>
      <w:r>
        <w:rPr>
          <w:bCs/>
        </w:rPr>
        <w:t xml:space="preserve">Все замечания и предложения по процедуре проведения настоящих торгов просим сообщать в ПАО «Газпром», адрес электронной почты: </w:t>
      </w:r>
      <w:hyperlink r:id="rId12" w:tooltip="mailto:inf@adm.gazprom.ru" w:history="1">
        <w:r>
          <w:rPr>
            <w:rStyle w:val="934"/>
            <w:bCs/>
          </w:rPr>
          <w:t xml:space="preserve">inf@adm.gazprom.ru</w:t>
        </w:r>
      </w:hyperlink>
      <w:r>
        <w:rPr>
          <w:bCs/>
        </w:rPr>
        <w:t xml:space="preserve">, тел. +7 (812) 609</w:t>
      </w:r>
      <w:r>
        <w:rPr>
          <w:bCs/>
        </w:rPr>
        <w:t xml:space="preserve">-</w:t>
      </w:r>
      <w:r>
        <w:rPr>
          <w:bCs/>
        </w:rPr>
        <w:t xml:space="preserve">76- 22, +7 (812) 609</w:t>
      </w:r>
      <w:r>
        <w:rPr>
          <w:bCs/>
        </w:rPr>
        <w:t xml:space="preserve">-</w:t>
      </w:r>
      <w:r>
        <w:rPr>
          <w:bCs/>
        </w:rPr>
        <w:t xml:space="preserve">76</w:t>
      </w:r>
      <w:r>
        <w:rPr>
          <w:bCs/>
        </w:rPr>
        <w:t xml:space="preserve">-</w:t>
      </w:r>
      <w:r>
        <w:rPr>
          <w:bCs/>
        </w:rPr>
        <w:t xml:space="preserve">2</w:t>
      </w:r>
      <w:r>
        <w:rPr>
          <w:bCs/>
        </w:rPr>
        <w:t xml:space="preserve">5</w:t>
      </w:r>
      <w:r>
        <w:rPr>
          <w:bCs/>
        </w:rPr>
        <w:t xml:space="preserve">.</w:t>
      </w:r>
      <w:r>
        <w:rPr>
          <w:bCs/>
        </w:rPr>
      </w:r>
      <w:r>
        <w:rPr>
          <w:bCs/>
        </w:rPr>
      </w:r>
    </w:p>
    <w:p>
      <w:pPr>
        <w:jc w:val="both"/>
        <w:rPr>
          <w:bCs/>
          <w:sz w:val="16"/>
          <w:szCs w:val="16"/>
        </w:rPr>
      </w:pPr>
      <w:r>
        <w:rPr>
          <w:bCs/>
          <w:sz w:val="16"/>
          <w:szCs w:val="16"/>
        </w:rPr>
      </w:r>
      <w:r>
        <w:rPr>
          <w:bCs/>
          <w:sz w:val="16"/>
          <w:szCs w:val="16"/>
        </w:rPr>
      </w:r>
      <w:r>
        <w:rPr>
          <w:bCs/>
          <w:sz w:val="16"/>
          <w:szCs w:val="16"/>
        </w:rPr>
      </w:r>
    </w:p>
    <w:p>
      <w:pPr>
        <w:numPr>
          <w:ilvl w:val="0"/>
          <w:numId w:val="35"/>
        </w:numPr>
        <w:contextualSpacing/>
        <w:ind w:left="0" w:firstLine="0"/>
        <w:jc w:val="both"/>
        <w:rPr>
          <w:b/>
          <w:bCs/>
        </w:rPr>
      </w:pPr>
      <w:r>
        <w:rPr>
          <w:b/>
          <w:bCs/>
        </w:rPr>
        <w:t xml:space="preserve">Организатор конкурентной процедуры: </w:t>
      </w:r>
      <w:r>
        <w:rPr>
          <w:bCs/>
        </w:rPr>
        <w:t xml:space="preserve">Общество с ограниченной ответственностью «Электронная торговая площадка ГПБ» (ООО ЭТП ГПБ), </w:t>
      </w:r>
      <w:r>
        <w:t xml:space="preserve">г. Санкт-Петербург, </w:t>
      </w:r>
      <w:r>
        <w:t xml:space="preserve">вн</w:t>
      </w:r>
      <w:r>
        <w:t xml:space="preserve">. тер. </w:t>
      </w:r>
      <w:r>
        <w:br/>
      </w:r>
      <w:r>
        <w:t xml:space="preserve">г. муниципальный округ Дворцовый округ, ул. Малая Конюшенная, д. 1-3, литера А, </w:t>
      </w:r>
      <w:r>
        <w:t xml:space="preserve">помещ</w:t>
      </w:r>
      <w:r>
        <w:t xml:space="preserve">. 19-Н</w:t>
      </w:r>
      <w:r>
        <w:rPr>
          <w:bCs/>
        </w:rPr>
        <w:t xml:space="preserve">.</w:t>
      </w:r>
      <w:r>
        <w:rPr>
          <w:b/>
          <w:bCs/>
        </w:rPr>
      </w:r>
      <w:r>
        <w:rPr>
          <w:b/>
          <w:bCs/>
        </w:rPr>
      </w:r>
    </w:p>
    <w:p>
      <w:pPr>
        <w:jc w:val="both"/>
        <w:rPr>
          <w:bCs/>
          <w:i/>
        </w:rPr>
      </w:pPr>
      <w:r>
        <w:rPr>
          <w:bCs/>
          <w:i/>
        </w:rPr>
        <w:t xml:space="preserve">Контактные лица:</w:t>
      </w:r>
      <w:r>
        <w:rPr>
          <w:bCs/>
          <w:i/>
        </w:rPr>
      </w:r>
      <w:r>
        <w:rPr>
          <w:bCs/>
          <w:i/>
        </w:rPr>
      </w:r>
    </w:p>
    <w:p>
      <w:pPr>
        <w:jc w:val="both"/>
        <w:rPr>
          <w:bCs/>
        </w:rPr>
      </w:pPr>
      <w:r>
        <w:rPr>
          <w:bCs/>
        </w:rPr>
        <w:t xml:space="preserve">Гладыревская Екатерина Владимировна, </w:t>
      </w:r>
      <w:r>
        <w:rPr>
          <w:bCs/>
        </w:rPr>
      </w:r>
      <w:r>
        <w:rPr>
          <w:bCs/>
        </w:rPr>
      </w:r>
    </w:p>
    <w:p>
      <w:pPr>
        <w:jc w:val="both"/>
        <w:rPr>
          <w:bCs/>
          <w:sz w:val="22"/>
          <w:szCs w:val="22"/>
        </w:rPr>
      </w:pPr>
      <w:r>
        <w:rPr>
          <w:bCs/>
        </w:rPr>
        <w:t xml:space="preserve">тел.: 8 (495) 276-00-51, доб.423, </w:t>
      </w:r>
      <w:r>
        <w:rPr>
          <w:bCs/>
        </w:rPr>
        <w:t xml:space="preserve">эл.адрес</w:t>
      </w:r>
      <w:r>
        <w:rPr>
          <w:bCs/>
        </w:rPr>
        <w:t xml:space="preserve">: </w:t>
      </w:r>
      <w:hyperlink r:id="rId13" w:tooltip="mailto:e.gladyrevskaya@etpgpb.ru" w:history="1">
        <w:r>
          <w:rPr>
            <w:rStyle w:val="934"/>
            <w:sz w:val="22"/>
            <w:szCs w:val="22"/>
          </w:rPr>
          <w:t xml:space="preserve">e.gladyrevskaya@etpgpb.ru</w:t>
        </w:r>
      </w:hyperlink>
      <w:r>
        <w:rPr>
          <w:bCs/>
          <w:sz w:val="22"/>
          <w:szCs w:val="22"/>
        </w:rPr>
        <w:t xml:space="preserve">; </w:t>
      </w:r>
      <w:r>
        <w:rPr>
          <w:bCs/>
          <w:sz w:val="22"/>
          <w:szCs w:val="22"/>
        </w:rPr>
      </w:r>
      <w:r>
        <w:rPr>
          <w:bCs/>
          <w:sz w:val="22"/>
          <w:szCs w:val="22"/>
        </w:rPr>
      </w:r>
    </w:p>
    <w:p>
      <w:pPr>
        <w:jc w:val="both"/>
        <w:rPr>
          <w:bCs/>
        </w:rPr>
      </w:pPr>
      <w:r>
        <w:rPr>
          <w:bCs/>
        </w:rPr>
        <w:t xml:space="preserve">Лысенин Владимир Сергеевич, </w:t>
      </w:r>
      <w:r>
        <w:rPr>
          <w:bCs/>
        </w:rPr>
      </w:r>
      <w:r>
        <w:rPr>
          <w:bCs/>
        </w:rPr>
      </w:r>
    </w:p>
    <w:p>
      <w:pPr>
        <w:jc w:val="both"/>
        <w:rPr>
          <w:bCs/>
        </w:rPr>
      </w:pPr>
      <w:r>
        <w:rPr>
          <w:bCs/>
        </w:rPr>
        <w:t xml:space="preserve">тел.: 8 (495) 276-00-51, доб.421, </w:t>
      </w:r>
      <w:r>
        <w:rPr>
          <w:bCs/>
        </w:rPr>
        <w:t xml:space="preserve">эл.адрес</w:t>
      </w:r>
      <w:r>
        <w:rPr>
          <w:bCs/>
        </w:rPr>
        <w:t xml:space="preserve">: </w:t>
      </w:r>
      <w:hyperlink r:id="rId14" w:tooltip="mailto:v.lysenin@etpgpb.ru" w:history="1">
        <w:r>
          <w:rPr>
            <w:bCs/>
          </w:rPr>
          <w:t xml:space="preserve">v.lysenin@etpgpb.ru</w:t>
        </w:r>
      </w:hyperlink>
      <w:r>
        <w:rPr>
          <w:bCs/>
        </w:rPr>
      </w:r>
      <w:r>
        <w:rPr>
          <w:bCs/>
        </w:rPr>
      </w:r>
    </w:p>
    <w:p>
      <w:pPr>
        <w:numPr>
          <w:ilvl w:val="0"/>
          <w:numId w:val="35"/>
        </w:numPr>
        <w:ind w:left="0" w:firstLine="0"/>
        <w:jc w:val="both"/>
        <w:rPr>
          <w:bCs/>
        </w:rPr>
      </w:pPr>
      <w:r>
        <w:rPr>
          <w:b/>
          <w:bCs/>
        </w:rPr>
        <w:t xml:space="preserve">Дата и время конкурентной процедуры: «</w:t>
      </w:r>
      <w:r>
        <w:rPr>
          <w:b/>
          <w:bCs/>
        </w:rPr>
        <w:t xml:space="preserve">23» </w:t>
      </w:r>
      <w:r>
        <w:rPr>
          <w:b/>
          <w:bCs/>
        </w:rPr>
        <w:t xml:space="preserve">июля 202</w:t>
      </w:r>
      <w:r>
        <w:rPr>
          <w:b/>
          <w:bCs/>
        </w:rPr>
        <w:t xml:space="preserve">5 года в 12:00 (МСК).</w:t>
      </w:r>
      <w:r>
        <w:rPr>
          <w:bCs/>
        </w:rPr>
      </w:r>
      <w:r>
        <w:rPr>
          <w:bCs/>
        </w:rPr>
      </w:r>
    </w:p>
    <w:p>
      <w:pPr>
        <w:numPr>
          <w:ilvl w:val="0"/>
          <w:numId w:val="35"/>
        </w:numPr>
        <w:ind w:left="0" w:firstLine="0"/>
        <w:jc w:val="both"/>
        <w:rPr>
          <w:bCs/>
        </w:rPr>
      </w:pPr>
      <w:r>
        <w:rPr>
          <w:bCs/>
        </w:rPr>
        <w:t xml:space="preserve">Дата и время начала приема </w:t>
      </w:r>
      <w:r>
        <w:rPr>
          <w:bCs/>
        </w:rPr>
        <w:t xml:space="preserve">заявок: </w:t>
      </w:r>
      <w:r>
        <w:rPr>
          <w:bCs/>
        </w:rPr>
        <w:t xml:space="preserve">  </w:t>
      </w:r>
      <w:r>
        <w:rPr>
          <w:bCs/>
        </w:rPr>
        <w:t xml:space="preserve">          </w:t>
      </w:r>
      <w:r>
        <w:rPr>
          <w:bCs/>
        </w:rPr>
        <w:t xml:space="preserve">«</w:t>
      </w:r>
      <w:r>
        <w:rPr>
          <w:bCs/>
        </w:rPr>
        <w:t xml:space="preserve">20» </w:t>
      </w:r>
      <w:r>
        <w:rPr>
          <w:bCs/>
        </w:rPr>
        <w:t xml:space="preserve">июня 202</w:t>
      </w:r>
      <w:r>
        <w:rPr>
          <w:bCs/>
        </w:rPr>
        <w:t xml:space="preserve">5 года в 12:00 (МСК).</w:t>
      </w:r>
      <w:r>
        <w:rPr>
          <w:bCs/>
        </w:rPr>
      </w:r>
      <w:r>
        <w:rPr>
          <w:bCs/>
        </w:rPr>
      </w:r>
    </w:p>
    <w:p>
      <w:pPr>
        <w:numPr>
          <w:ilvl w:val="0"/>
          <w:numId w:val="35"/>
        </w:numPr>
        <w:ind w:left="0" w:firstLine="0"/>
        <w:jc w:val="both"/>
        <w:rPr>
          <w:bCs/>
        </w:rPr>
      </w:pPr>
      <w:r>
        <w:rPr>
          <w:bCs/>
        </w:rPr>
        <w:t xml:space="preserve">Дата и время окончания приёма </w:t>
      </w:r>
      <w:r>
        <w:rPr>
          <w:bCs/>
        </w:rPr>
        <w:t xml:space="preserve">заявок: </w:t>
      </w:r>
      <w:r>
        <w:rPr>
          <w:bCs/>
        </w:rPr>
        <w:t xml:space="preserve">  </w:t>
      </w:r>
      <w:r>
        <w:rPr>
          <w:bCs/>
        </w:rPr>
        <w:t xml:space="preserve">    </w:t>
      </w:r>
      <w:r>
        <w:rPr>
          <w:bCs/>
        </w:rPr>
        <w:t xml:space="preserve">«</w:t>
      </w:r>
      <w:r>
        <w:rPr>
          <w:bCs/>
        </w:rPr>
        <w:t xml:space="preserve">21» </w:t>
      </w:r>
      <w:r>
        <w:rPr>
          <w:bCs/>
        </w:rPr>
        <w:t xml:space="preserve">июля 202</w:t>
      </w:r>
      <w:r>
        <w:rPr>
          <w:bCs/>
        </w:rPr>
        <w:t xml:space="preserve">5 года в 18:00 (МСК). </w:t>
      </w:r>
      <w:r>
        <w:rPr>
          <w:bCs/>
        </w:rPr>
      </w:r>
      <w:r>
        <w:rPr>
          <w:bCs/>
        </w:rPr>
      </w:r>
    </w:p>
    <w:p>
      <w:pPr>
        <w:numPr>
          <w:ilvl w:val="0"/>
          <w:numId w:val="35"/>
        </w:numPr>
        <w:ind w:left="0" w:firstLine="0"/>
        <w:jc w:val="both"/>
        <w:tabs>
          <w:tab w:val="left" w:pos="0" w:leader="none"/>
        </w:tabs>
        <w:rPr>
          <w:bCs/>
        </w:rPr>
      </w:pPr>
      <w:r>
        <w:rPr>
          <w:bCs/>
        </w:rPr>
        <w:t xml:space="preserve">Дата рассмотрения </w:t>
      </w:r>
      <w:r>
        <w:rPr>
          <w:bCs/>
        </w:rPr>
        <w:t xml:space="preserve">заявок: </w:t>
      </w:r>
      <w:r>
        <w:rPr>
          <w:bCs/>
        </w:rPr>
        <w:t xml:space="preserve">  </w:t>
      </w:r>
      <w:r>
        <w:rPr>
          <w:bCs/>
        </w:rPr>
        <w:t xml:space="preserve">                          </w:t>
      </w:r>
      <w:r>
        <w:rPr>
          <w:bCs/>
        </w:rPr>
        <w:t xml:space="preserve">«</w:t>
      </w:r>
      <w:r>
        <w:rPr>
          <w:bCs/>
        </w:rPr>
        <w:t xml:space="preserve">22» </w:t>
      </w:r>
      <w:r>
        <w:rPr>
          <w:bCs/>
        </w:rPr>
        <w:t xml:space="preserve">июля 202</w:t>
      </w:r>
      <w:r>
        <w:rPr>
          <w:bCs/>
        </w:rPr>
        <w:t xml:space="preserve">5 года, с 10:00 до 18:00 (МСК).</w:t>
      </w:r>
      <w:r>
        <w:rPr>
          <w:bCs/>
        </w:rPr>
      </w:r>
      <w:r>
        <w:rPr>
          <w:bCs/>
        </w:rPr>
      </w:r>
    </w:p>
    <w:p>
      <w:pPr>
        <w:numPr>
          <w:ilvl w:val="0"/>
          <w:numId w:val="35"/>
        </w:numPr>
        <w:ind w:left="0" w:firstLine="0"/>
        <w:jc w:val="both"/>
        <w:rPr>
          <w:bCs/>
        </w:rPr>
      </w:pPr>
      <w:r>
        <w:rPr>
          <w:bCs/>
        </w:rPr>
        <w:t xml:space="preserve">Извещение о конкурентной процедуре</w:t>
      </w:r>
      <w:r>
        <w:rPr>
          <w:bCs/>
        </w:rPr>
        <w:t xml:space="preserve"> размещается в сет</w:t>
      </w:r>
      <w:r>
        <w:rPr>
          <w:bCs/>
        </w:rPr>
        <w:t xml:space="preserve">и Интернет на сайте ООО ЭТП ГПБ:</w:t>
      </w:r>
      <w:r>
        <w:rPr>
          <w:bCs/>
        </w:rPr>
        <w:t xml:space="preserve"> </w:t>
      </w:r>
      <w:hyperlink r:id="rId15" w:tooltip="https://etpgpb.ru/" w:history="1">
        <w:r>
          <w:rPr>
            <w:bCs/>
          </w:rPr>
          <w:t xml:space="preserve">https://etpgpb.ru/</w:t>
        </w:r>
      </w:hyperlink>
      <w:r>
        <w:rPr>
          <w:bCs/>
        </w:rPr>
        <w:t xml:space="preserve">.</w:t>
      </w:r>
      <w:r>
        <w:rPr>
          <w:bCs/>
        </w:rPr>
      </w:r>
      <w:r>
        <w:rPr>
          <w:bCs/>
        </w:rPr>
      </w:r>
    </w:p>
    <w:p>
      <w:pPr>
        <w:ind w:left="0" w:firstLine="0"/>
        <w:jc w:val="both"/>
        <w:rPr>
          <w:rFonts w:ascii="PT Astra Serif" w:hAnsi="PT Astra Serif"/>
          <w:b/>
          <w:bCs/>
          <w:color w:val="000000"/>
        </w:rPr>
      </w:pPr>
      <w:r>
        <w:rPr>
          <w:rFonts w:ascii="PT Astra Serif" w:hAnsi="PT Astra Serif"/>
          <w:b/>
          <w:bCs/>
        </w:rPr>
        <w:t xml:space="preserve">9.         Предмет конкурентной процедуры в электронной форме</w:t>
      </w:r>
      <w:r>
        <w:rPr>
          <w:rFonts w:ascii="PT Astra Serif" w:hAnsi="PT Astra Serif"/>
          <w:bCs/>
        </w:rPr>
      </w:r>
      <w:bookmarkStart w:id="2" w:name="_GoBack"/>
      <w:r/>
      <w:bookmarkEnd w:id="2"/>
      <w:r>
        <w:rPr>
          <w:rFonts w:ascii="PT Astra Serif" w:hAnsi="PT Astra Serif"/>
          <w:b/>
          <w:bCs/>
        </w:rPr>
        <w:t xml:space="preserve"> (реализация отдельными лотами): </w:t>
      </w:r>
      <w:r>
        <w:rPr>
          <w:b/>
          <w:bCs/>
          <w:color w:val="000000"/>
        </w:rPr>
        <w:t xml:space="preserve">продажа </w:t>
      </w:r>
      <w:r>
        <w:rPr>
          <w:rFonts w:eastAsia="Calibri"/>
          <w:b/>
          <w:bCs/>
          <w:color w:val="000000"/>
          <w:lang w:eastAsia="en-US"/>
        </w:rPr>
        <w:t xml:space="preserve">Здания пекарни </w:t>
      </w:r>
      <w:r>
        <w:rPr>
          <w:rFonts w:eastAsia="Calibri"/>
          <w:bCs/>
        </w:rPr>
        <w:t xml:space="preserve">(</w:t>
      </w:r>
      <w:r>
        <w:t xml:space="preserve">кадастровый</w:t>
      </w:r>
      <w:r>
        <w:t xml:space="preserve"> номер 86:07:0102004:4704)</w:t>
      </w:r>
      <w:r>
        <w:rPr>
          <w:rFonts w:eastAsia="Calibri"/>
          <w:bCs/>
          <w:color w:val="000000"/>
          <w:lang w:eastAsia="en-US"/>
        </w:rPr>
        <w:t xml:space="preserve">, </w:t>
        <w:br/>
        <w:t xml:space="preserve">инв.№ 10600000_0238, инв.№ 10600000_0316,</w:t>
      </w:r>
      <w:r>
        <w:rPr>
          <w:rFonts w:eastAsia="Calibri"/>
          <w:b/>
          <w:bCs/>
          <w:color w:val="000000"/>
          <w:lang w:eastAsia="en-US"/>
        </w:rPr>
        <w:t xml:space="preserve"> </w:t>
      </w:r>
      <w:r>
        <w:rPr>
          <w:rFonts w:eastAsia="Calibri"/>
          <w:bCs/>
          <w:color w:val="000000"/>
          <w:lang w:eastAsia="en-US"/>
        </w:rPr>
        <w:t xml:space="preserve">общей площадью 124 кв.м., основной площадью 81,6 кв.м., этажность – 1, </w:t>
      </w:r>
      <w:r>
        <w:rPr>
          <w:rFonts w:eastAsia="Calibri"/>
          <w:bCs/>
          <w:color w:val="000000"/>
          <w:lang w:eastAsia="en-US"/>
        </w:rPr>
        <w:t xml:space="preserve">подз</w:t>
      </w:r>
      <w:r>
        <w:rPr>
          <w:rFonts w:eastAsia="Calibri"/>
          <w:bCs/>
          <w:color w:val="000000"/>
          <w:lang w:eastAsia="en-US"/>
        </w:rPr>
        <w:t xml:space="preserve">. этажность - нет. </w:t>
      </w:r>
      <w:r>
        <w:rPr>
          <w:rFonts w:ascii="PT Astra Serif" w:hAnsi="PT Astra Serif"/>
          <w:b/>
          <w:bCs/>
          <w:color w:val="000000"/>
        </w:rPr>
      </w:r>
      <w:r>
        <w:rPr>
          <w:rFonts w:ascii="PT Astra Serif" w:hAnsi="PT Astra Serif"/>
          <w:b/>
          <w:bCs/>
          <w:color w:val="000000"/>
        </w:rPr>
      </w:r>
    </w:p>
    <w:p>
      <w:pPr>
        <w:jc w:val="both"/>
        <w:rPr>
          <w:rFonts w:eastAsia="Calibri"/>
          <w:lang w:eastAsia="en-US"/>
        </w:rPr>
        <w:outlineLvl w:val="0"/>
      </w:pPr>
      <w:r>
        <w:rPr>
          <w:rFonts w:eastAsia="Calibri"/>
          <w:bCs/>
          <w:color w:val="000000"/>
          <w:lang w:eastAsia="en-US"/>
        </w:rPr>
        <w:t xml:space="preserve">А</w:t>
      </w:r>
      <w:r>
        <w:rPr>
          <w:rFonts w:eastAsia="Calibri"/>
          <w:bCs/>
          <w:lang w:eastAsia="en-US"/>
        </w:rPr>
        <w:t xml:space="preserve">дрес объекта: </w:t>
      </w:r>
      <w:r>
        <w:rPr>
          <w:rFonts w:eastAsia="Calibri"/>
          <w:b/>
          <w:lang w:eastAsia="en-US"/>
        </w:rPr>
        <w:t xml:space="preserve">ХМАО - Югра</w:t>
      </w:r>
      <w:r>
        <w:rPr>
          <w:rFonts w:eastAsia="Calibri"/>
          <w:lang w:eastAsia="en-US"/>
        </w:rPr>
        <w:t xml:space="preserve">, Октябрьский р-н, </w:t>
      </w:r>
      <w:r>
        <w:rPr>
          <w:rFonts w:eastAsia="Calibri"/>
          <w:b/>
          <w:lang w:eastAsia="en-US"/>
        </w:rPr>
        <w:t xml:space="preserve">с. Перегребное</w:t>
      </w:r>
      <w:r>
        <w:rPr>
          <w:rFonts w:eastAsia="Calibri"/>
          <w:lang w:eastAsia="en-US"/>
        </w:rPr>
        <w:t xml:space="preserve">, ул. Советская, д.21. </w:t>
      </w:r>
      <w:r>
        <w:rPr>
          <w:rFonts w:eastAsia="Calibri"/>
          <w:lang w:eastAsia="en-US"/>
        </w:rPr>
      </w:r>
      <w:r>
        <w:rPr>
          <w:rFonts w:eastAsia="Calibri"/>
          <w:lang w:eastAsia="en-US"/>
        </w:rPr>
      </w:r>
    </w:p>
    <w:p>
      <w:pPr>
        <w:ind w:firstLine="709"/>
        <w:jc w:val="both"/>
        <w:rPr>
          <w:rFonts w:eastAsia="Calibri"/>
          <w:lang w:eastAsia="en-US"/>
        </w:rPr>
        <w:outlineLvl w:val="0"/>
      </w:pPr>
      <w:r>
        <w:rPr>
          <w:rFonts w:eastAsia="Calibri"/>
          <w:lang w:eastAsia="en-US"/>
        </w:rPr>
        <w:t xml:space="preserve">Имущество расположено на земельном участке, общей площадью 665 кв. м. Земельный участок находится в аренде у ООО «Газпром трансгаз Югорск» до 21.02.2033 на основании договора аренды № 73 от 31.07.2009г. </w:t>
      </w:r>
      <w:r>
        <w:rPr>
          <w:rFonts w:eastAsia="Calibri"/>
          <w:lang w:eastAsia="en-US"/>
        </w:rPr>
      </w:r>
      <w:r>
        <w:rPr>
          <w:rFonts w:eastAsia="Calibri"/>
          <w:lang w:eastAsia="en-US"/>
        </w:rPr>
      </w:r>
    </w:p>
    <w:p>
      <w:pPr>
        <w:ind w:firstLine="709"/>
        <w:jc w:val="both"/>
        <w:rPr>
          <w:rFonts w:eastAsia="Calibri"/>
          <w:lang w:eastAsia="en-US"/>
        </w:rPr>
        <w:outlineLvl w:val="0"/>
      </w:pPr>
      <w:r>
        <w:rPr>
          <w:rFonts w:eastAsia="Calibri"/>
          <w:lang w:eastAsia="en-US"/>
        </w:rPr>
        <w:t xml:space="preserve">Техническая характеристика объекта: отдельно стоящее здание, этажность 1; </w:t>
      </w:r>
      <w:r>
        <w:rPr>
          <w:rFonts w:eastAsia="Calibri"/>
          <w:lang w:eastAsia="en-US"/>
        </w:rPr>
        <w:t xml:space="preserve">площадь по наружному обмеру 147,6 кв.м, длина 12,1 м, ширина12,2 м, высота 2,7 м, объем 399 м3. Площадь по внутреннему обмеру 124 кв.м, основная площадь 81,6 кв.м. Фундамент железобетонные блоки, стены металлические щитовые, крыша - железо, в наличии отопл</w:t>
      </w:r>
      <w:r>
        <w:rPr>
          <w:rFonts w:eastAsia="Calibri"/>
          <w:lang w:eastAsia="en-US"/>
        </w:rPr>
        <w:t xml:space="preserve">ение, водопровод, канализация, электроосвещение. Оборудование Хлебопекарная печь - 2 шт. Мощность 68 кВт/380В-120А, производительность 2-х печей - 2 т. Быстроходная тестомесильная машина типа GYD-125/2, Моечная машина типа МС-135, мощность 55 кВт/380В-25А.</w:t>
      </w:r>
      <w:r>
        <w:rPr>
          <w:rFonts w:eastAsia="Calibri"/>
          <w:lang w:eastAsia="en-US"/>
        </w:rPr>
      </w:r>
      <w:r>
        <w:rPr>
          <w:rFonts w:eastAsia="Calibri"/>
          <w:lang w:eastAsia="en-US"/>
        </w:rPr>
      </w:r>
    </w:p>
    <w:p>
      <w:pPr>
        <w:ind w:firstLine="709"/>
        <w:jc w:val="both"/>
        <w:rPr>
          <w:b/>
        </w:rPr>
      </w:pPr>
      <w:r>
        <w:rPr>
          <w:b/>
        </w:rPr>
        <w:t xml:space="preserve">Ограничения: </w:t>
      </w:r>
      <w:r>
        <w:rPr>
          <w:b/>
        </w:rPr>
      </w:r>
      <w:r>
        <w:rPr>
          <w:b/>
        </w:rPr>
      </w:r>
    </w:p>
    <w:p>
      <w:pPr>
        <w:ind w:firstLine="709"/>
        <w:jc w:val="both"/>
        <w:rPr>
          <w:rFonts w:eastAsia="Calibri"/>
          <w:lang w:eastAsia="en-US"/>
        </w:rPr>
      </w:pPr>
      <w:r>
        <w:rPr>
          <w:rFonts w:eastAsia="Calibri"/>
          <w:lang w:eastAsia="en-US"/>
        </w:rPr>
        <w:t xml:space="preserve">Объект расположен в границах зоны минимальных расстояний до объекта Единой системы газоснабжения «Газопровод-отвод и ГРС с. Перегребное», реестровый номер зоны 86:07-6.2319.</w:t>
      </w:r>
      <w:r>
        <w:rPr>
          <w:rFonts w:eastAsia="Calibri"/>
          <w:lang w:eastAsia="en-US"/>
        </w:rPr>
      </w:r>
      <w:r>
        <w:rPr>
          <w:rFonts w:eastAsia="Calibri"/>
          <w:lang w:eastAsia="en-US"/>
        </w:rPr>
      </w:r>
    </w:p>
    <w:p>
      <w:pPr>
        <w:jc w:val="both"/>
        <w:rPr>
          <w:rFonts w:eastAsia="Calibri"/>
          <w:lang w:eastAsia="en-US"/>
        </w:rPr>
      </w:pPr>
      <w:r>
        <w:rPr>
          <w:rFonts w:eastAsia="Calibri"/>
          <w:lang w:eastAsia="en-US"/>
        </w:rPr>
        <w:t xml:space="preserve">В зоне минимальных расстояний объектов системы газоснабжения, без согласования с организацией – собственником системы газоснабжения или уполномоченной ею организацией </w:t>
      </w:r>
      <w:r>
        <w:rPr>
          <w:rFonts w:eastAsia="Calibri"/>
          <w:lang w:eastAsia="en-US"/>
        </w:rPr>
        <w:t xml:space="preserve">запрещено строить какие бы то ни было здания, строения, сооружения. Здани</w:t>
      </w:r>
      <w:r>
        <w:rPr>
          <w:rFonts w:eastAsia="Calibri"/>
          <w:lang w:eastAsia="en-US"/>
        </w:rPr>
        <w:t xml:space="preserve">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физический лиц, допустивших нарушения. Вмешательство в работу </w:t>
      </w:r>
      <w:r>
        <w:rPr>
          <w:rFonts w:eastAsia="Calibri"/>
          <w:lang w:eastAsia="en-US"/>
        </w:rPr>
        <w:t xml:space="preserve">объектов систем газоснабжения</w:t>
      </w:r>
      <w:r>
        <w:rPr>
          <w:rFonts w:eastAsia="Calibri"/>
          <w:lang w:eastAsia="en-US"/>
        </w:rPr>
        <w:t xml:space="preserve"> не уполномоченных на то юридических и физичес</w:t>
      </w:r>
      <w:r>
        <w:rPr>
          <w:rFonts w:eastAsia="Calibri"/>
          <w:lang w:eastAsia="en-US"/>
        </w:rPr>
        <w:t xml:space="preserve">кий лиц запрещается. Владельцы земельных участков не имеют права препятствовать организации – собственнику системы газоснабжения или уполномоченной ею организацией в выполнении ими работ по обслуживанию и ремонту объектов системы газоснабжения, ликвидации </w:t>
      </w:r>
      <w:r>
        <w:rPr>
          <w:rFonts w:eastAsia="Calibri"/>
          <w:lang w:eastAsia="en-US"/>
        </w:rPr>
        <w:t xml:space="preserve">последствий</w:t>
      </w:r>
      <w:r>
        <w:rPr>
          <w:rFonts w:eastAsia="Calibri"/>
          <w:lang w:eastAsia="en-US"/>
        </w:rPr>
        <w:t xml:space="preserve"> возникших на них аварий, катастроф, и иные действия согласно Федеральному закону от 31.03.1999 № 69-ФЗ «О газоснабжении в Российской Федерации».</w:t>
      </w:r>
      <w:r>
        <w:rPr>
          <w:rFonts w:eastAsia="Calibri"/>
          <w:lang w:eastAsia="en-US"/>
        </w:rPr>
      </w:r>
      <w:r>
        <w:rPr>
          <w:rFonts w:eastAsia="Calibri"/>
          <w:lang w:eastAsia="en-US"/>
        </w:rPr>
      </w:r>
    </w:p>
    <w:p>
      <w:pPr>
        <w:pStyle w:val="963"/>
        <w:ind w:left="360"/>
        <w:jc w:val="both"/>
        <w:rPr>
          <w:b/>
        </w:rPr>
        <w:outlineLvl w:val="0"/>
      </w:pPr>
      <w:r>
        <w:rPr>
          <w:b/>
        </w:rPr>
      </w:r>
      <w:r>
        <w:rPr>
          <w:b/>
        </w:rPr>
      </w:r>
      <w:r>
        <w:rPr>
          <w:b/>
        </w:rPr>
      </w:r>
    </w:p>
    <w:p>
      <w:pPr>
        <w:jc w:val="both"/>
        <w:rPr>
          <w:b/>
        </w:rPr>
        <w:outlineLvl w:val="0"/>
      </w:pPr>
      <w:r>
        <w:rPr>
          <w:b/>
        </w:rPr>
      </w:r>
      <w:r>
        <w:rPr>
          <w:b/>
        </w:rPr>
      </w:r>
      <w:r>
        <w:rPr>
          <w:b/>
        </w:rPr>
      </w:r>
    </w:p>
    <w:p>
      <w:pPr>
        <w:jc w:val="center"/>
        <w:rPr>
          <w:rFonts w:eastAsia="Calibri"/>
          <w:lang w:eastAsia="en-US"/>
        </w:rPr>
        <w:outlineLvl w:val="0"/>
      </w:pPr>
      <w:r>
        <w:rPr>
          <w:rFonts w:eastAsia="Calibri"/>
        </w:rPr>
        <mc:AlternateContent>
          <mc:Choice Requires="wpg">
            <w:drawing>
              <wp:inline xmlns:wp="http://schemas.openxmlformats.org/drawingml/2006/wordprocessingDrawing" distT="0" distB="0" distL="0" distR="0">
                <wp:extent cx="3524250" cy="219075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6"/>
                        <a:stretch/>
                      </pic:blipFill>
                      <pic:spPr bwMode="auto">
                        <a:xfrm>
                          <a:off x="0" y="0"/>
                          <a:ext cx="3524250" cy="21907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77.50pt;height:172.50pt;mso-wrap-distance-left:0.00pt;mso-wrap-distance-top:0.00pt;mso-wrap-distance-right:0.00pt;mso-wrap-distance-bottom:0.00pt;" stroked="f">
                <v:path textboxrect="0,0,0,0"/>
                <v:imagedata r:id="rId16" o:title=""/>
              </v:shape>
            </w:pict>
          </mc:Fallback>
        </mc:AlternateContent>
      </w:r>
      <w:r>
        <w:rPr>
          <w:rFonts w:eastAsia="Calibri"/>
          <w:lang w:eastAsia="en-US"/>
        </w:rPr>
      </w:r>
      <w:r>
        <w:rPr>
          <w:rFonts w:eastAsia="Calibri"/>
          <w:lang w:eastAsia="en-US"/>
        </w:rPr>
      </w:r>
    </w:p>
    <w:p>
      <w:pPr>
        <w:pStyle w:val="963"/>
        <w:ind w:left="360"/>
        <w:rPr>
          <w:rFonts w:eastAsia="Calibri"/>
          <w:sz w:val="16"/>
          <w:szCs w:val="16"/>
          <w:lang w:eastAsia="en-US"/>
        </w:rPr>
        <w:outlineLvl w:val="0"/>
      </w:pPr>
      <w:r>
        <w:rPr>
          <w:rFonts w:eastAsia="Calibri"/>
          <w:sz w:val="16"/>
          <w:szCs w:val="16"/>
          <w:lang w:eastAsia="en-US"/>
        </w:rPr>
      </w:r>
      <w:r>
        <w:rPr>
          <w:rFonts w:eastAsia="Calibri"/>
          <w:sz w:val="16"/>
          <w:szCs w:val="16"/>
          <w:lang w:eastAsia="en-US"/>
        </w:rPr>
      </w:r>
      <w:r>
        <w:rPr>
          <w:rFonts w:eastAsia="Calibri"/>
          <w:sz w:val="16"/>
          <w:szCs w:val="16"/>
          <w:lang w:eastAsia="en-US"/>
        </w:rPr>
      </w:r>
    </w:p>
    <w:p>
      <w:pPr>
        <w:pStyle w:val="963"/>
        <w:ind w:left="360"/>
        <w:jc w:val="center"/>
        <w:rPr>
          <w:rFonts w:eastAsia="Calibri"/>
          <w:lang w:eastAsia="en-US"/>
        </w:rPr>
        <w:outlineLvl w:val="0"/>
      </w:pPr>
      <w:r>
        <w:rPr>
          <w:rFonts w:eastAsia="Calibri"/>
        </w:rPr>
        <mc:AlternateContent>
          <mc:Choice Requires="wpg">
            <w:drawing>
              <wp:inline xmlns:wp="http://schemas.openxmlformats.org/drawingml/2006/wordprocessingDrawing" distT="0" distB="0" distL="0" distR="0">
                <wp:extent cx="2124075" cy="2867025"/>
                <wp:effectExtent l="0" t="0" r="9525"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7"/>
                        <a:stretch/>
                      </pic:blipFill>
                      <pic:spPr bwMode="auto">
                        <a:xfrm>
                          <a:off x="0" y="0"/>
                          <a:ext cx="2124075" cy="2867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67.25pt;height:225.75pt;mso-wrap-distance-left:0.00pt;mso-wrap-distance-top:0.00pt;mso-wrap-distance-right:0.00pt;mso-wrap-distance-bottom:0.00pt;" stroked="f">
                <v:path textboxrect="0,0,0,0"/>
                <v:imagedata r:id="rId17" o:title=""/>
              </v:shape>
            </w:pict>
          </mc:Fallback>
        </mc:AlternateContent>
      </w:r>
      <w:r>
        <w:rPr>
          <w:rFonts w:eastAsia="Calibri"/>
        </w:rPr>
        <mc:AlternateContent>
          <mc:Choice Requires="wpg">
            <w:drawing>
              <wp:inline xmlns:wp="http://schemas.openxmlformats.org/drawingml/2006/wordprocessingDrawing" distT="0" distB="0" distL="0" distR="0">
                <wp:extent cx="2095500" cy="287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8"/>
                        <a:stretch/>
                      </pic:blipFill>
                      <pic:spPr bwMode="auto">
                        <a:xfrm>
                          <a:off x="0" y="0"/>
                          <a:ext cx="2095500" cy="28765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65.00pt;height:226.50pt;mso-wrap-distance-left:0.00pt;mso-wrap-distance-top:0.00pt;mso-wrap-distance-right:0.00pt;mso-wrap-distance-bottom:0.00pt;" stroked="f">
                <v:path textboxrect="0,0,0,0"/>
                <v:imagedata r:id="rId18" o:title=""/>
              </v:shape>
            </w:pict>
          </mc:Fallback>
        </mc:AlternateContent>
      </w:r>
      <w:r>
        <w:rPr>
          <w:rFonts w:eastAsia="Calibri"/>
          <w:lang w:eastAsia="en-US"/>
        </w:rPr>
      </w:r>
      <w:r>
        <w:rPr>
          <w:rFonts w:eastAsia="Calibri"/>
          <w:lang w:eastAsia="en-US"/>
        </w:rPr>
      </w:r>
    </w:p>
    <w:p>
      <w:pPr>
        <w:pStyle w:val="963"/>
        <w:ind w:left="360"/>
        <w:jc w:val="both"/>
        <w:rPr>
          <w:rFonts w:eastAsia="Calibri"/>
          <w:b/>
          <w:bCs/>
          <w:color w:val="000000"/>
          <w:lang w:eastAsia="en-US"/>
        </w:rPr>
      </w:pPr>
      <w:r>
        <w:rPr>
          <w:rFonts w:eastAsia="Calibri"/>
          <w:b/>
          <w:bCs/>
          <w:color w:val="000000"/>
          <w:lang w:eastAsia="en-US"/>
        </w:rPr>
      </w:r>
      <w:r>
        <w:rPr>
          <w:rFonts w:eastAsia="Calibri"/>
          <w:b/>
          <w:bCs/>
          <w:color w:val="000000"/>
          <w:lang w:eastAsia="en-US"/>
        </w:rPr>
      </w:r>
      <w:r>
        <w:rPr>
          <w:rFonts w:eastAsia="Calibri"/>
          <w:b/>
          <w:bCs/>
          <w:color w:val="000000"/>
          <w:lang w:eastAsia="en-US"/>
        </w:rPr>
      </w:r>
    </w:p>
    <w:tbl>
      <w:tblPr>
        <w:tblStyle w:val="978"/>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3681"/>
        <w:gridCol w:w="6374"/>
      </w:tblGrid>
      <w:tr>
        <w:tblPrEx/>
        <w:trPr/>
        <w:tc>
          <w:tcPr>
            <w:tcW w:w="3681" w:type="dxa"/>
            <w:vMerge w:val="restart"/>
            <w:textDirection w:val="lrTb"/>
            <w:noWrap w:val="false"/>
          </w:tcPr>
          <w:p>
            <w:pPr>
              <w:pStyle w:val="935"/>
              <w:jc w:val="left"/>
              <w:spacing w:after="0"/>
              <w:tabs>
                <w:tab w:val="left" w:pos="0" w:leader="none"/>
              </w:tabs>
              <w:rPr>
                <w:rFonts w:eastAsia="Calibri"/>
                <w:b/>
                <w:bCs/>
              </w:rPr>
            </w:pPr>
            <w:r>
              <w:rPr>
                <w:rFonts w:eastAsia="Calibri"/>
                <w:b/>
                <w:bCs/>
                <w:highlight w:val="none"/>
              </w:rPr>
            </w:r>
            <w:r>
              <w:rPr>
                <w:rFonts w:eastAsia="Calibri"/>
                <w:b/>
                <w:bCs/>
              </w:rPr>
            </w:r>
            <w:r>
              <w:rPr>
                <w:rFonts w:eastAsia="Calibri"/>
                <w:b/>
                <w:bCs/>
              </w:rPr>
            </w:r>
          </w:p>
          <w:p>
            <w:pPr>
              <w:pStyle w:val="935"/>
              <w:jc w:val="left"/>
              <w:spacing w:after="0"/>
              <w:tabs>
                <w:tab w:val="left" w:pos="0" w:leader="none"/>
              </w:tabs>
              <w:rPr>
                <w:rFonts w:eastAsia="Calibri"/>
                <w:b/>
                <w:bCs/>
                <w:highlight w:val="none"/>
              </w:rPr>
            </w:pPr>
            <w:r>
              <w:rPr>
                <w:rFonts w:eastAsia="Calibri"/>
                <w:b/>
                <w:bCs/>
              </w:rPr>
              <w:t xml:space="preserve">Цена первоначального предложения лота №1:</w:t>
            </w:r>
            <w:r>
              <w:rPr>
                <w:rFonts w:eastAsia="Calibri"/>
                <w:b/>
                <w:bCs/>
                <w:highlight w:val="none"/>
              </w:rPr>
            </w:r>
            <w:r>
              <w:rPr>
                <w:rFonts w:eastAsia="Calibri"/>
                <w:b/>
                <w:bCs/>
                <w:highlight w:val="none"/>
              </w:rPr>
            </w:r>
          </w:p>
          <w:p>
            <w:pPr>
              <w:pStyle w:val="935"/>
              <w:jc w:val="left"/>
              <w:spacing w:after="0"/>
              <w:tabs>
                <w:tab w:val="left" w:pos="0" w:leader="none"/>
              </w:tabs>
              <w:rPr>
                <w:rFonts w:eastAsia="Calibri"/>
                <w:b/>
                <w:bCs/>
              </w:rPr>
            </w:pPr>
            <w:r>
              <w:rPr>
                <w:rFonts w:eastAsia="Calibri"/>
                <w:b/>
                <w:bCs/>
              </w:rPr>
            </w:r>
            <w:r>
              <w:rPr>
                <w:rFonts w:eastAsia="Calibri"/>
                <w:b/>
                <w:bCs/>
              </w:rPr>
            </w:r>
            <w:r>
              <w:rPr>
                <w:rFonts w:eastAsia="Calibri"/>
                <w:b/>
                <w:bCs/>
              </w:rPr>
            </w:r>
          </w:p>
        </w:tc>
        <w:tc>
          <w:tcPr>
            <w:tcW w:w="6374" w:type="dxa"/>
            <w:textDirection w:val="lrTb"/>
            <w:noWrap w:val="false"/>
          </w:tcPr>
          <w:p>
            <w:pPr>
              <w:jc w:val="both"/>
              <w:rPr>
                <w:rFonts w:eastAsia="Calibri"/>
                <w:b/>
                <w:bCs/>
              </w:rPr>
            </w:pPr>
            <w:r>
              <w:rPr>
                <w:rFonts w:eastAsia="Calibri"/>
                <w:b/>
                <w:bCs/>
              </w:rPr>
            </w:r>
            <w:r>
              <w:rPr>
                <w:rFonts w:eastAsia="Calibri"/>
                <w:b/>
                <w:bCs/>
              </w:rPr>
            </w:r>
            <w:r>
              <w:rPr>
                <w:rFonts w:eastAsia="Calibri"/>
                <w:b/>
                <w:bCs/>
              </w:rPr>
            </w:r>
          </w:p>
          <w:p>
            <w:pPr>
              <w:jc w:val="both"/>
              <w:rPr>
                <w:rFonts w:eastAsia="Calibri"/>
                <w:b/>
                <w:bCs/>
                <w:highlight w:val="none"/>
              </w:rPr>
            </w:pPr>
            <w:r>
              <w:rPr>
                <w:rFonts w:eastAsia="Calibri"/>
                <w:b/>
                <w:bCs/>
                <w:lang w:eastAsia="en-US"/>
              </w:rPr>
            </w:r>
            <w:r>
              <w:rPr>
                <w:rFonts w:ascii="PT Astra Serif" w:hAnsi="PT Astra Serif" w:eastAsia="Calibri"/>
                <w:b/>
                <w:bCs/>
                <w:sz w:val="24"/>
              </w:rPr>
              <w:t xml:space="preserve">672 841 руб. 46 коп.</w:t>
            </w:r>
            <w:r>
              <w:rPr>
                <w:rFonts w:eastAsia="Calibri"/>
                <w:b/>
                <w:bCs/>
                <w:lang w:eastAsia="en-US"/>
              </w:rPr>
              <w:t xml:space="preserve"> </w:t>
            </w:r>
            <w:r>
              <w:rPr>
                <w:rFonts w:eastAsia="Calibri"/>
                <w:b/>
                <w:bCs/>
              </w:rPr>
              <w:t xml:space="preserve">без учета НДС, кроме того НДС.</w:t>
            </w:r>
            <w:r>
              <w:rPr>
                <w:rFonts w:eastAsia="Calibri"/>
                <w:b/>
                <w:bCs/>
                <w:highlight w:val="none"/>
              </w:rPr>
            </w:r>
            <w:r>
              <w:rPr>
                <w:rFonts w:eastAsia="Calibri"/>
                <w:b/>
                <w:bCs/>
                <w:highlight w:val="none"/>
              </w:rPr>
            </w:r>
          </w:p>
          <w:p>
            <w:pPr>
              <w:jc w:val="both"/>
              <w:rPr>
                <w:rFonts w:eastAsia="Calibri"/>
                <w:b/>
                <w:bCs/>
              </w:rPr>
            </w:pPr>
            <w:r>
              <w:rPr>
                <w:rFonts w:eastAsia="Calibri"/>
                <w:b/>
                <w:bCs/>
                <w:highlight w:val="none"/>
              </w:rPr>
            </w:r>
            <w:r>
              <w:rPr>
                <w:rFonts w:eastAsia="Calibri"/>
                <w:b/>
                <w:bCs/>
              </w:rPr>
            </w:r>
            <w:r>
              <w:rPr>
                <w:rFonts w:eastAsia="Calibri"/>
                <w:b/>
                <w:bCs/>
              </w:rPr>
            </w:r>
          </w:p>
        </w:tc>
      </w:tr>
      <w:tr>
        <w:tblPrEx/>
        <w:trPr/>
        <w:tc>
          <w:tcPr>
            <w:tcW w:w="3681" w:type="dxa"/>
            <w:vMerge w:val="continue"/>
            <w:textDirection w:val="lrTb"/>
            <w:noWrap w:val="false"/>
          </w:tcPr>
          <w:p>
            <w:r/>
            <w:r/>
          </w:p>
        </w:tc>
        <w:tc>
          <w:tcPr>
            <w:tcW w:w="6374" w:type="dxa"/>
            <w:textDirection w:val="lrTb"/>
            <w:noWrap w:val="false"/>
          </w:tcPr>
          <w:p>
            <w:pPr>
              <w:pStyle w:val="935"/>
              <w:spacing w:after="0"/>
              <w:tabs>
                <w:tab w:val="left" w:pos="0" w:leader="none"/>
              </w:tabs>
              <w:rPr>
                <w:rFonts w:eastAsia="Calibri"/>
                <w:b/>
                <w:bCs/>
              </w:rPr>
            </w:pPr>
            <w:r>
              <w:rPr>
                <w:rFonts w:eastAsia="Calibri"/>
                <w:b/>
                <w:bCs/>
                <w:lang w:eastAsia="en-US"/>
              </w:rPr>
            </w:r>
            <w:r>
              <w:rPr>
                <w:rFonts w:ascii="PT Astra Serif" w:hAnsi="PT Astra Serif" w:eastAsia="Calibri"/>
                <w:b/>
                <w:bCs/>
                <w:sz w:val="24"/>
              </w:rPr>
              <w:t xml:space="preserve">807 409 руб. 75 коп.</w:t>
            </w:r>
            <w:r>
              <w:rPr>
                <w:rFonts w:eastAsia="Calibri"/>
                <w:b/>
                <w:bCs/>
                <w:lang w:eastAsia="en-US"/>
              </w:rPr>
              <w:t xml:space="preserve"> </w:t>
            </w:r>
            <w:r>
              <w:rPr>
                <w:rFonts w:eastAsia="Calibri"/>
                <w:b/>
                <w:bCs/>
              </w:rPr>
              <w:t xml:space="preserve">с учетом НДС.</w:t>
            </w:r>
            <w:r>
              <w:rPr>
                <w:rFonts w:eastAsia="Calibri"/>
                <w:b/>
                <w:bCs/>
              </w:rPr>
            </w:r>
            <w:r>
              <w:rPr>
                <w:rFonts w:eastAsia="Calibri"/>
                <w:b/>
                <w:bCs/>
              </w:rPr>
            </w:r>
          </w:p>
          <w:p>
            <w:pPr>
              <w:pStyle w:val="935"/>
              <w:spacing w:after="0"/>
              <w:tabs>
                <w:tab w:val="left" w:pos="0" w:leader="none"/>
              </w:tabs>
              <w:rPr>
                <w:rFonts w:eastAsia="Calibri"/>
                <w:b/>
                <w:bCs/>
              </w:rPr>
            </w:pPr>
            <w:r>
              <w:rPr>
                <w:rFonts w:eastAsia="Calibri"/>
                <w:b/>
                <w:bCs/>
              </w:rPr>
            </w:r>
            <w:r>
              <w:rPr>
                <w:rFonts w:eastAsia="Calibri"/>
                <w:b/>
                <w:bCs/>
              </w:rPr>
            </w:r>
            <w:r>
              <w:rPr>
                <w:rFonts w:eastAsia="Calibri"/>
                <w:b/>
                <w:bCs/>
              </w:rPr>
            </w:r>
          </w:p>
        </w:tc>
      </w:tr>
      <w:tr>
        <w:tblPrEx/>
        <w:trPr/>
        <w:tc>
          <w:tcPr>
            <w:tcW w:w="3681" w:type="dxa"/>
            <w:vMerge w:val="restart"/>
            <w:textDirection w:val="lrTb"/>
            <w:noWrap w:val="false"/>
          </w:tcPr>
          <w:p>
            <w:pPr>
              <w:pStyle w:val="935"/>
              <w:jc w:val="left"/>
              <w:spacing w:after="0"/>
              <w:tabs>
                <w:tab w:val="left" w:pos="0" w:leader="none"/>
              </w:tabs>
              <w:rPr>
                <w:rFonts w:eastAsia="Calibri"/>
                <w:b/>
                <w:bCs/>
              </w:rPr>
            </w:pPr>
            <w:r>
              <w:rPr>
                <w:rFonts w:eastAsia="Calibri"/>
                <w:b/>
                <w:bCs/>
                <w:highlight w:val="none"/>
                <w:lang w:eastAsia="en-US"/>
              </w:rPr>
            </w:r>
            <w:r>
              <w:rPr>
                <w:rFonts w:eastAsia="Calibri"/>
                <w:b/>
                <w:bCs/>
              </w:rPr>
            </w:r>
            <w:r>
              <w:rPr>
                <w:rFonts w:eastAsia="Calibri"/>
                <w:b/>
                <w:bCs/>
              </w:rPr>
            </w:r>
          </w:p>
          <w:p>
            <w:pPr>
              <w:pStyle w:val="935"/>
              <w:jc w:val="left"/>
              <w:spacing w:after="0"/>
              <w:tabs>
                <w:tab w:val="left" w:pos="0" w:leader="none"/>
              </w:tabs>
              <w:rPr>
                <w:rFonts w:eastAsia="Calibri"/>
                <w:b/>
                <w:bCs/>
                <w:highlight w:val="none"/>
                <w:lang w:eastAsia="en-US"/>
              </w:rPr>
            </w:pPr>
            <w:r>
              <w:rPr>
                <w:rFonts w:eastAsia="Calibri"/>
                <w:b/>
                <w:bCs/>
                <w:lang w:eastAsia="en-US"/>
              </w:rPr>
              <w:t xml:space="preserve">Минимальная цена предложения (цена отсечения):</w:t>
            </w:r>
            <w:r>
              <w:rPr>
                <w:rFonts w:eastAsia="Calibri"/>
                <w:b/>
                <w:bCs/>
                <w:highlight w:val="none"/>
                <w:lang w:eastAsia="en-US"/>
              </w:rPr>
            </w:r>
            <w:r>
              <w:rPr>
                <w:rFonts w:eastAsia="Calibri"/>
                <w:b/>
                <w:bCs/>
                <w:highlight w:val="none"/>
                <w:lang w:eastAsia="en-US"/>
              </w:rPr>
            </w:r>
          </w:p>
          <w:p>
            <w:pPr>
              <w:pStyle w:val="935"/>
              <w:jc w:val="left"/>
              <w:spacing w:after="0"/>
              <w:tabs>
                <w:tab w:val="left" w:pos="0" w:leader="none"/>
              </w:tabs>
              <w:rPr>
                <w:rFonts w:eastAsia="Calibri"/>
                <w:b/>
                <w:bCs/>
              </w:rPr>
            </w:pPr>
            <w:r>
              <w:rPr>
                <w:rFonts w:eastAsia="Calibri"/>
                <w:b/>
                <w:bCs/>
              </w:rPr>
            </w:r>
            <w:r>
              <w:rPr>
                <w:rFonts w:eastAsia="Calibri"/>
                <w:b/>
                <w:bCs/>
              </w:rPr>
            </w:r>
            <w:r>
              <w:rPr>
                <w:rFonts w:eastAsia="Calibri"/>
                <w:b/>
                <w:bCs/>
              </w:rPr>
            </w:r>
          </w:p>
        </w:tc>
        <w:tc>
          <w:tcPr>
            <w:tcW w:w="6374" w:type="dxa"/>
            <w:textDirection w:val="lrTb"/>
            <w:noWrap w:val="false"/>
          </w:tcPr>
          <w:p>
            <w:pPr>
              <w:jc w:val="both"/>
              <w:rPr>
                <w:rFonts w:eastAsia="Calibri"/>
                <w:b/>
                <w:bCs/>
                <w:lang w:eastAsia="en-US"/>
              </w:rPr>
            </w:pPr>
            <w:r>
              <w:rPr>
                <w:rFonts w:eastAsia="Calibri"/>
                <w:b/>
                <w:bCs/>
                <w:lang w:eastAsia="en-US"/>
              </w:rPr>
            </w:r>
            <w:r>
              <w:rPr>
                <w:rFonts w:eastAsia="Calibri"/>
                <w:b/>
                <w:bCs/>
                <w:lang w:eastAsia="en-US"/>
              </w:rPr>
            </w:r>
            <w:r>
              <w:rPr>
                <w:rFonts w:eastAsia="Calibri"/>
                <w:b/>
                <w:bCs/>
                <w:lang w:eastAsia="en-US"/>
              </w:rPr>
            </w:r>
          </w:p>
          <w:p>
            <w:pPr>
              <w:jc w:val="both"/>
              <w:rPr>
                <w:rFonts w:eastAsia="Calibri"/>
                <w:b/>
                <w:bCs/>
                <w:highlight w:val="none"/>
              </w:rPr>
            </w:pPr>
            <w:r>
              <w:rPr>
                <w:rFonts w:eastAsia="Calibri"/>
                <w:b/>
                <w:bCs/>
                <w:lang w:eastAsia="en-US"/>
              </w:rPr>
              <w:t xml:space="preserve">470 989 руб. </w:t>
            </w:r>
            <w:r>
              <w:rPr>
                <w:rFonts w:eastAsia="Calibri"/>
                <w:b/>
                <w:bCs/>
                <w:lang w:eastAsia="en-US"/>
              </w:rPr>
              <w:t xml:space="preserve">02 </w:t>
            </w:r>
            <w:r>
              <w:rPr>
                <w:rFonts w:eastAsia="Calibri"/>
                <w:b/>
                <w:bCs/>
                <w:lang w:eastAsia="en-US"/>
              </w:rPr>
              <w:t xml:space="preserve">коп.,</w:t>
            </w:r>
            <w:r>
              <w:rPr>
                <w:rFonts w:eastAsia="Calibri"/>
                <w:b/>
                <w:bCs/>
                <w:lang w:eastAsia="en-US"/>
              </w:rPr>
              <w:t xml:space="preserve"> </w:t>
            </w:r>
            <w:r>
              <w:rPr>
                <w:rFonts w:eastAsia="Calibri"/>
                <w:b/>
                <w:bCs/>
              </w:rPr>
              <w:t xml:space="preserve">без учета НДС, кроме того НДС.</w:t>
            </w:r>
            <w:r>
              <w:rPr>
                <w:rFonts w:eastAsia="Calibri"/>
                <w:b/>
                <w:bCs/>
                <w:highlight w:val="none"/>
              </w:rPr>
            </w:r>
            <w:r>
              <w:rPr>
                <w:rFonts w:eastAsia="Calibri"/>
                <w:b/>
                <w:bCs/>
                <w:highlight w:val="none"/>
              </w:rPr>
            </w:r>
          </w:p>
          <w:p>
            <w:pPr>
              <w:jc w:val="both"/>
              <w:rPr>
                <w:rFonts w:eastAsia="Calibri"/>
                <w:b/>
                <w:bCs/>
              </w:rPr>
            </w:pPr>
            <w:r>
              <w:rPr>
                <w:rFonts w:eastAsia="Calibri"/>
                <w:b/>
                <w:bCs/>
                <w:highlight w:val="none"/>
              </w:rPr>
            </w:r>
            <w:r>
              <w:rPr>
                <w:rFonts w:eastAsia="Calibri"/>
                <w:b/>
                <w:bCs/>
              </w:rPr>
            </w:r>
            <w:r>
              <w:rPr>
                <w:rFonts w:eastAsia="Calibri"/>
                <w:b/>
                <w:bCs/>
              </w:rPr>
            </w:r>
          </w:p>
        </w:tc>
      </w:tr>
      <w:tr>
        <w:tblPrEx/>
        <w:trPr/>
        <w:tc>
          <w:tcPr>
            <w:tcW w:w="3681" w:type="dxa"/>
            <w:vMerge w:val="continue"/>
            <w:textDirection w:val="lrTb"/>
            <w:noWrap w:val="false"/>
          </w:tcPr>
          <w:p>
            <w:r/>
            <w:r/>
          </w:p>
        </w:tc>
        <w:tc>
          <w:tcPr>
            <w:tcW w:w="6374" w:type="dxa"/>
            <w:textDirection w:val="lrTb"/>
            <w:noWrap w:val="false"/>
          </w:tcPr>
          <w:p>
            <w:pPr>
              <w:pStyle w:val="935"/>
              <w:spacing w:after="0"/>
              <w:tabs>
                <w:tab w:val="left" w:pos="0" w:leader="none"/>
              </w:tabs>
              <w:rPr>
                <w:rFonts w:eastAsia="Calibri"/>
                <w:b/>
                <w:bCs/>
              </w:rPr>
            </w:pPr>
            <w:r>
              <w:rPr>
                <w:rFonts w:eastAsia="Calibri"/>
                <w:b/>
                <w:bCs/>
                <w:lang w:eastAsia="en-US"/>
              </w:rPr>
              <w:t xml:space="preserve">565 186 руб.</w:t>
            </w:r>
            <w:r>
              <w:rPr>
                <w:rFonts w:eastAsia="Calibri"/>
                <w:b/>
                <w:bCs/>
                <w:lang w:eastAsia="en-US"/>
              </w:rPr>
              <w:t xml:space="preserve"> 83 коп.  </w:t>
            </w:r>
            <w:r>
              <w:rPr>
                <w:rFonts w:eastAsia="Calibri"/>
                <w:b/>
                <w:bCs/>
              </w:rPr>
              <w:t xml:space="preserve">с учетом НДС.</w:t>
            </w:r>
            <w:r>
              <w:rPr>
                <w:rFonts w:eastAsia="Calibri"/>
                <w:b/>
                <w:bCs/>
              </w:rPr>
            </w:r>
            <w:r>
              <w:rPr>
                <w:rFonts w:eastAsia="Calibri"/>
                <w:b/>
                <w:bCs/>
              </w:rPr>
            </w:r>
          </w:p>
          <w:p>
            <w:pPr>
              <w:pStyle w:val="935"/>
              <w:spacing w:after="0"/>
              <w:tabs>
                <w:tab w:val="left" w:pos="0" w:leader="none"/>
              </w:tabs>
              <w:rPr>
                <w:rFonts w:eastAsia="Calibri"/>
                <w:b/>
                <w:bCs/>
              </w:rPr>
            </w:pPr>
            <w:r>
              <w:rPr>
                <w:rFonts w:eastAsia="Calibri"/>
                <w:b/>
                <w:bCs/>
              </w:rPr>
            </w:r>
            <w:r>
              <w:rPr>
                <w:rFonts w:eastAsia="Calibri"/>
                <w:b/>
                <w:bCs/>
              </w:rPr>
            </w:r>
            <w:r>
              <w:rPr>
                <w:rFonts w:eastAsia="Calibri"/>
                <w:b/>
                <w:bCs/>
              </w:rPr>
            </w:r>
          </w:p>
        </w:tc>
      </w:tr>
      <w:tr>
        <w:tblPrEx/>
        <w:trPr/>
        <w:tc>
          <w:tcPr>
            <w:tcW w:w="3681" w:type="dxa"/>
            <w:textDirection w:val="lrTb"/>
            <w:noWrap w:val="false"/>
          </w:tcPr>
          <w:p>
            <w:pPr>
              <w:pStyle w:val="935"/>
              <w:jc w:val="left"/>
              <w:spacing w:after="0"/>
              <w:tabs>
                <w:tab w:val="left" w:pos="0" w:leader="none"/>
              </w:tabs>
              <w:rPr>
                <w:rFonts w:eastAsia="Calibri"/>
                <w:b/>
                <w:bCs/>
              </w:rPr>
            </w:pPr>
            <w:r>
              <w:rPr>
                <w:rFonts w:eastAsia="Calibri"/>
                <w:b/>
                <w:bCs/>
                <w:lang w:eastAsia="en-US"/>
              </w:rPr>
              <w:t xml:space="preserve">Шаг понижения </w:t>
            </w:r>
            <w:r>
              <w:rPr>
                <w:rFonts w:eastAsia="Calibri"/>
                <w:b/>
                <w:bCs/>
                <w:lang w:eastAsia="en-US"/>
              </w:rPr>
              <w:t xml:space="preserve">цены:  </w:t>
            </w:r>
            <w:r>
              <w:rPr>
                <w:rFonts w:eastAsia="Calibri"/>
                <w:b/>
                <w:bCs/>
              </w:rPr>
            </w:r>
            <w:r>
              <w:rPr>
                <w:rFonts w:eastAsia="Calibri"/>
                <w:b/>
                <w:bCs/>
              </w:rPr>
            </w:r>
          </w:p>
        </w:tc>
        <w:tc>
          <w:tcPr>
            <w:tcW w:w="6374" w:type="dxa"/>
            <w:textDirection w:val="lrTb"/>
            <w:noWrap w:val="false"/>
          </w:tcPr>
          <w:p>
            <w:pPr>
              <w:jc w:val="both"/>
              <w:rPr>
                <w:rFonts w:eastAsia="Calibri"/>
                <w:bCs/>
                <w:lang w:eastAsia="en-US"/>
              </w:rPr>
            </w:pPr>
            <w:r>
              <w:rPr>
                <w:rFonts w:eastAsia="Calibri"/>
                <w:bCs/>
                <w:lang w:eastAsia="en-US"/>
              </w:rPr>
              <w:t xml:space="preserve">1% (один процент) от начальной цены лота.</w:t>
            </w:r>
            <w:r>
              <w:rPr>
                <w:rFonts w:eastAsia="Calibri"/>
                <w:bCs/>
                <w:lang w:eastAsia="en-US"/>
              </w:rPr>
            </w:r>
            <w:r>
              <w:rPr>
                <w:rFonts w:eastAsia="Calibri"/>
                <w:bCs/>
                <w:lang w:eastAsia="en-US"/>
              </w:rPr>
            </w:r>
          </w:p>
          <w:p>
            <w:pPr>
              <w:pStyle w:val="935"/>
              <w:spacing w:after="0"/>
              <w:tabs>
                <w:tab w:val="left" w:pos="0" w:leader="none"/>
              </w:tabs>
              <w:rPr>
                <w:rFonts w:eastAsia="Calibri"/>
                <w:b/>
                <w:bCs/>
              </w:rPr>
            </w:pPr>
            <w:r>
              <w:rPr>
                <w:rFonts w:eastAsia="Calibri"/>
                <w:b/>
                <w:bCs/>
              </w:rPr>
            </w:r>
            <w:r>
              <w:rPr>
                <w:rFonts w:eastAsia="Calibri"/>
                <w:b/>
                <w:bCs/>
              </w:rPr>
            </w:r>
            <w:r>
              <w:rPr>
                <w:rFonts w:eastAsia="Calibri"/>
                <w:b/>
                <w:bCs/>
              </w:rPr>
            </w:r>
          </w:p>
        </w:tc>
      </w:tr>
      <w:tr>
        <w:tblPrEx/>
        <w:trPr/>
        <w:tc>
          <w:tcPr>
            <w:tcW w:w="3681" w:type="dxa"/>
            <w:textDirection w:val="lrTb"/>
            <w:noWrap w:val="false"/>
          </w:tcPr>
          <w:p>
            <w:pPr>
              <w:pStyle w:val="935"/>
              <w:jc w:val="left"/>
              <w:spacing w:after="0"/>
              <w:tabs>
                <w:tab w:val="left" w:pos="0" w:leader="none"/>
              </w:tabs>
              <w:rPr>
                <w:rFonts w:eastAsia="Calibri"/>
                <w:b/>
                <w:bCs/>
              </w:rPr>
            </w:pPr>
            <w:r>
              <w:rPr>
                <w:rFonts w:eastAsia="Calibri"/>
                <w:b/>
                <w:bCs/>
                <w:lang w:eastAsia="en-US"/>
              </w:rPr>
              <w:t xml:space="preserve">Шаг повышения цены:</w:t>
            </w:r>
            <w:r>
              <w:rPr>
                <w:rFonts w:eastAsia="Calibri"/>
                <w:b/>
                <w:bCs/>
              </w:rPr>
            </w:r>
            <w:r>
              <w:rPr>
                <w:rFonts w:eastAsia="Calibri"/>
                <w:b/>
                <w:bCs/>
              </w:rPr>
            </w:r>
          </w:p>
        </w:tc>
        <w:tc>
          <w:tcPr>
            <w:tcW w:w="6374" w:type="dxa"/>
            <w:textDirection w:val="lrTb"/>
            <w:noWrap w:val="false"/>
          </w:tcPr>
          <w:p>
            <w:pPr>
              <w:jc w:val="both"/>
              <w:rPr>
                <w:rFonts w:eastAsia="Calibri"/>
                <w:bCs/>
                <w:lang w:eastAsia="en-US"/>
              </w:rPr>
            </w:pPr>
            <w:r>
              <w:rPr>
                <w:rFonts w:eastAsia="Calibri"/>
                <w:bCs/>
                <w:lang w:eastAsia="en-US"/>
              </w:rPr>
              <w:t xml:space="preserve">1 % (один процент) от начальной цены лота. </w:t>
            </w:r>
            <w:r>
              <w:rPr>
                <w:rFonts w:eastAsia="Calibri"/>
                <w:bCs/>
                <w:lang w:eastAsia="en-US"/>
              </w:rPr>
            </w:r>
            <w:r>
              <w:rPr>
                <w:rFonts w:eastAsia="Calibri"/>
                <w:bCs/>
                <w:lang w:eastAsia="en-US"/>
              </w:rPr>
            </w:r>
          </w:p>
          <w:p>
            <w:pPr>
              <w:jc w:val="both"/>
              <w:rPr>
                <w:rFonts w:eastAsia="Calibri"/>
                <w:bCs/>
                <w:lang w:eastAsia="en-US"/>
              </w:rPr>
            </w:pPr>
            <w:r>
              <w:rPr>
                <w:rFonts w:eastAsia="Calibri"/>
                <w:bCs/>
                <w:lang w:eastAsia="en-US"/>
              </w:rPr>
            </w:r>
            <w:r>
              <w:rPr>
                <w:rFonts w:eastAsia="Calibri"/>
                <w:bCs/>
                <w:lang w:eastAsia="en-US"/>
              </w:rPr>
            </w:r>
            <w:r>
              <w:rPr>
                <w:rFonts w:eastAsia="Calibri"/>
                <w:bCs/>
                <w:lang w:eastAsia="en-US"/>
              </w:rPr>
            </w:r>
          </w:p>
        </w:tc>
      </w:tr>
      <w:tr>
        <w:tblPrEx/>
        <w:trPr/>
        <w:tc>
          <w:tcPr>
            <w:tcW w:w="3681" w:type="dxa"/>
            <w:textDirection w:val="lrTb"/>
            <w:noWrap w:val="false"/>
          </w:tcPr>
          <w:p>
            <w:pPr>
              <w:pStyle w:val="935"/>
              <w:jc w:val="left"/>
              <w:spacing w:after="0"/>
              <w:tabs>
                <w:tab w:val="left" w:pos="0" w:leader="none"/>
              </w:tabs>
              <w:rPr>
                <w:rFonts w:eastAsia="Calibri"/>
                <w:b/>
                <w:bCs/>
                <w:lang w:eastAsia="en-US"/>
              </w:rPr>
            </w:pPr>
            <w:r>
              <w:rPr>
                <w:rFonts w:eastAsia="Calibri"/>
                <w:b/>
                <w:bCs/>
                <w:color w:val="000000"/>
                <w:lang w:eastAsia="en-US"/>
              </w:rPr>
              <w:t xml:space="preserve">Размер </w:t>
            </w:r>
            <w:r>
              <w:rPr>
                <w:rFonts w:eastAsia="Calibri"/>
                <w:b/>
                <w:bCs/>
                <w:color w:val="000000"/>
                <w:lang w:eastAsia="en-US"/>
              </w:rPr>
              <w:t xml:space="preserve">задатка:   </w:t>
            </w:r>
            <w:r>
              <w:rPr>
                <w:rFonts w:eastAsia="Calibri"/>
                <w:b/>
                <w:bCs/>
                <w:color w:val="000000"/>
                <w:lang w:eastAsia="en-US"/>
              </w:rPr>
              <w:t xml:space="preserve">           </w:t>
            </w:r>
            <w:r>
              <w:rPr>
                <w:rFonts w:eastAsia="Calibri"/>
                <w:b/>
                <w:bCs/>
                <w:lang w:eastAsia="en-US"/>
              </w:rPr>
            </w:r>
            <w:r>
              <w:rPr>
                <w:rFonts w:eastAsia="Calibri"/>
                <w:b/>
                <w:bCs/>
                <w:lang w:eastAsia="en-US"/>
              </w:rPr>
            </w:r>
          </w:p>
        </w:tc>
        <w:tc>
          <w:tcPr>
            <w:tcW w:w="6374" w:type="dxa"/>
            <w:textDirection w:val="lrTb"/>
            <w:noWrap w:val="false"/>
          </w:tcPr>
          <w:p>
            <w:pPr>
              <w:jc w:val="both"/>
              <w:tabs>
                <w:tab w:val="left" w:pos="0" w:leader="none"/>
              </w:tabs>
              <w:rPr>
                <w:rFonts w:eastAsia="Calibri"/>
                <w:bCs/>
                <w:lang w:eastAsia="en-US"/>
              </w:rPr>
            </w:pPr>
            <w:r>
              <w:rPr>
                <w:rFonts w:eastAsia="Calibri"/>
                <w:bCs/>
                <w:color w:val="000000"/>
                <w:lang w:eastAsia="en-US"/>
              </w:rPr>
              <w:t xml:space="preserve">10 </w:t>
            </w:r>
            <w:r>
              <w:rPr>
                <w:rFonts w:eastAsia="Calibri"/>
                <w:bCs/>
                <w:lang w:eastAsia="en-US"/>
              </w:rPr>
              <w:t xml:space="preserve">% (десять процентов) от начальной цены лота (НДС не облагается).</w:t>
            </w:r>
            <w:r>
              <w:rPr>
                <w:rFonts w:eastAsia="Calibri"/>
                <w:bCs/>
                <w:lang w:eastAsia="en-US"/>
              </w:rPr>
            </w:r>
            <w:r>
              <w:rPr>
                <w:rFonts w:eastAsia="Calibri"/>
                <w:bCs/>
                <w:lang w:eastAsia="en-US"/>
              </w:rPr>
            </w:r>
          </w:p>
        </w:tc>
      </w:tr>
    </w:tbl>
    <w:p>
      <w:pPr>
        <w:pStyle w:val="956"/>
        <w:jc w:val="both"/>
        <w:tabs>
          <w:tab w:val="left" w:pos="548" w:leader="none"/>
        </w:tabs>
        <w:rPr>
          <w:rFonts w:ascii="PT Astra Serif" w:hAnsi="PT Astra Serif" w:eastAsia="Calibri"/>
          <w:b/>
          <w:bCs/>
          <w:sz w:val="24"/>
          <w:szCs w:val="24"/>
          <w:lang w:eastAsia="ru-RU"/>
        </w:rPr>
      </w:pPr>
      <w:r>
        <w:rPr>
          <w:rFonts w:ascii="PT Astra Serif" w:hAnsi="PT Astra Serif" w:eastAsia="Calibri"/>
          <w:b/>
          <w:bCs/>
          <w:sz w:val="24"/>
          <w:szCs w:val="24"/>
          <w:lang w:eastAsia="ru-RU"/>
        </w:rPr>
      </w:r>
      <w:r>
        <w:rPr>
          <w:rFonts w:ascii="PT Astra Serif" w:hAnsi="PT Astra Serif" w:eastAsia="Calibri"/>
          <w:b/>
          <w:bCs/>
          <w:sz w:val="24"/>
          <w:szCs w:val="24"/>
          <w:lang w:eastAsia="ru-RU"/>
        </w:rPr>
      </w:r>
      <w:r>
        <w:rPr>
          <w:rFonts w:ascii="PT Astra Serif" w:hAnsi="PT Astra Serif" w:eastAsia="Calibri"/>
          <w:b/>
          <w:bCs/>
          <w:sz w:val="24"/>
          <w:szCs w:val="24"/>
          <w:lang w:eastAsia="ru-RU"/>
        </w:rPr>
      </w:r>
    </w:p>
    <w:p>
      <w:pPr>
        <w:pStyle w:val="935"/>
        <w:ind w:left="360"/>
        <w:spacing w:after="0"/>
        <w:tabs>
          <w:tab w:val="left" w:pos="0" w:leader="none"/>
        </w:tabs>
        <w:rPr>
          <w:rFonts w:eastAsia="Calibri"/>
          <w:b/>
          <w:bCs/>
        </w:rPr>
      </w:pPr>
      <w:r>
        <w:rPr>
          <w:rFonts w:eastAsia="Calibri"/>
          <w:b/>
          <w:bCs/>
        </w:rPr>
      </w:r>
      <w:r>
        <w:rPr>
          <w:rFonts w:eastAsia="Calibri"/>
          <w:b/>
          <w:bCs/>
        </w:rPr>
      </w:r>
      <w:r>
        <w:rPr>
          <w:rFonts w:eastAsia="Calibri"/>
          <w:b/>
          <w:bCs/>
        </w:rPr>
      </w:r>
    </w:p>
    <w:p>
      <w:pPr>
        <w:pStyle w:val="956"/>
        <w:ind w:left="360"/>
        <w:jc w:val="both"/>
        <w:tabs>
          <w:tab w:val="left" w:pos="548" w:leader="none"/>
        </w:tabs>
        <w:rPr>
          <w:rFonts w:ascii="Times New Roman" w:hAnsi="Times New Roman" w:eastAsia="Calibri"/>
          <w:b/>
          <w:bCs/>
          <w:sz w:val="24"/>
          <w:szCs w:val="24"/>
          <w:lang w:eastAsia="ru-RU"/>
        </w:rPr>
      </w:pPr>
      <w:r>
        <w:rPr>
          <w:rFonts w:ascii="Times New Roman" w:hAnsi="Times New Roman" w:eastAsia="Calibri"/>
          <w:b/>
          <w:bCs/>
          <w:sz w:val="24"/>
          <w:szCs w:val="24"/>
          <w:lang w:eastAsia="ru-RU"/>
        </w:rPr>
      </w:r>
      <w:r>
        <w:rPr>
          <w:rFonts w:ascii="Times New Roman" w:hAnsi="Times New Roman" w:eastAsia="Calibri"/>
          <w:b/>
          <w:bCs/>
          <w:sz w:val="24"/>
          <w:szCs w:val="24"/>
          <w:lang w:eastAsia="ru-RU"/>
        </w:rPr>
      </w:r>
      <w:r>
        <w:rPr>
          <w:rFonts w:ascii="Times New Roman" w:hAnsi="Times New Roman" w:eastAsia="Calibri"/>
          <w:b/>
          <w:bCs/>
          <w:sz w:val="24"/>
          <w:szCs w:val="24"/>
          <w:lang w:eastAsia="ru-RU"/>
        </w:rPr>
      </w:r>
    </w:p>
    <w:p>
      <w:pPr>
        <w:jc w:val="both"/>
        <w:rPr>
          <w:rFonts w:eastAsia="Calibri"/>
          <w:b/>
          <w:bCs/>
          <w:sz w:val="12"/>
          <w:szCs w:val="12"/>
          <w:lang w:eastAsia="en-US"/>
        </w:rPr>
      </w:pPr>
      <w:r>
        <w:rPr>
          <w:rFonts w:eastAsia="Calibri"/>
          <w:b/>
          <w:bCs/>
          <w:sz w:val="12"/>
          <w:szCs w:val="12"/>
          <w:lang w:eastAsia="en-US"/>
        </w:rPr>
      </w:r>
      <w:r>
        <w:rPr>
          <w:rFonts w:eastAsia="Calibri"/>
          <w:b/>
          <w:bCs/>
          <w:sz w:val="12"/>
          <w:szCs w:val="12"/>
          <w:lang w:eastAsia="en-US"/>
        </w:rPr>
      </w:r>
      <w:r>
        <w:rPr>
          <w:rFonts w:eastAsia="Calibri"/>
          <w:b/>
          <w:bCs/>
          <w:sz w:val="12"/>
          <w:szCs w:val="12"/>
          <w:lang w:eastAsia="en-US"/>
        </w:rPr>
      </w:r>
    </w:p>
    <w:p>
      <w:pPr>
        <w:pStyle w:val="962"/>
        <w:ind w:left="0" w:firstLine="0"/>
        <w:jc w:val="both"/>
        <w:tabs>
          <w:tab w:val="left" w:pos="0" w:leader="none"/>
        </w:tabs>
      </w:pPr>
      <w:r>
        <w:rPr>
          <w:b/>
          <w:bCs/>
        </w:rPr>
        <w:t xml:space="preserve">10. Порядок внесения задатка и возврата: в соответствии с документацией о публичном предложении в электронной форме и регламентом ЭТП ГПБ </w:t>
      </w:r>
      <w:hyperlink r:id="rId19" w:tooltip="https://etp.gpb.ru/" w:history="1">
        <w:r>
          <w:rPr>
            <w:rStyle w:val="934"/>
            <w:b/>
            <w:bCs/>
          </w:rPr>
          <w:t xml:space="preserve">https://etp.gpb.ru/</w:t>
        </w:r>
      </w:hyperlink>
      <w:r>
        <w:rPr>
          <w:b/>
          <w:bCs/>
        </w:rPr>
        <w:t xml:space="preserve">.</w:t>
      </w:r>
      <w:r/>
    </w:p>
    <w:p>
      <w:pPr>
        <w:pStyle w:val="962"/>
        <w:ind w:left="0" w:firstLine="0"/>
        <w:jc w:val="both"/>
        <w:tabs>
          <w:tab w:val="left" w:pos="0" w:leader="none"/>
        </w:tabs>
      </w:pPr>
      <w:r>
        <w:rPr>
          <w:bCs/>
        </w:rPr>
        <w:t xml:space="preserve">11. Осмотр имущества</w:t>
      </w:r>
      <w:r>
        <w:rPr>
          <w:b/>
          <w:bCs/>
        </w:rPr>
        <w:t xml:space="preserve"> </w:t>
      </w:r>
      <w:r>
        <w:t xml:space="preserve">проводится по предварительной записи у Организатора продажи. Заявки на осмотр принимаются с даты начала приема заявок. </w:t>
      </w:r>
      <w:r/>
    </w:p>
    <w:p>
      <w:pPr>
        <w:jc w:val="both"/>
      </w:pPr>
      <w:r>
        <w:t xml:space="preserve">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r/>
    </w:p>
    <w:p>
      <w:pPr>
        <w:ind w:left="0" w:firstLine="0"/>
        <w:jc w:val="both"/>
        <w:rPr>
          <w:bCs/>
        </w:rPr>
      </w:pPr>
      <w:r>
        <w:rPr>
          <w:b/>
          <w:bCs/>
        </w:rPr>
        <w:t xml:space="preserve">12. Время ожидания ценовых предложений: </w:t>
      </w:r>
      <w:r>
        <w:rPr>
          <w:bCs/>
        </w:rPr>
        <w:t xml:space="preserve">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r>
        <w:rPr>
          <w:bCs/>
        </w:rPr>
      </w:r>
      <w:r>
        <w:rPr>
          <w:bCs/>
        </w:rPr>
      </w:r>
    </w:p>
    <w:p>
      <w:pPr>
        <w:ind w:left="0" w:firstLine="0"/>
        <w:jc w:val="both"/>
        <w:rPr>
          <w:bCs/>
        </w:rPr>
      </w:pPr>
      <w:r>
        <w:rPr>
          <w:b/>
          <w:bCs/>
        </w:rPr>
        <w:t xml:space="preserve">13. Форма заявки: </w:t>
      </w:r>
      <w:r>
        <w:rPr>
          <w:bCs/>
        </w:rPr>
        <w:t xml:space="preserve">в соответствии с документацией процедуры публичного предложения в электронной форме и регламентом ЭТП ГПБ </w:t>
      </w:r>
      <w:hyperlink r:id="rId20" w:tooltip="https://etp.gpb.ru/" w:history="1">
        <w:r>
          <w:rPr>
            <w:rStyle w:val="934"/>
            <w:bCs/>
          </w:rPr>
          <w:t xml:space="preserve">https://etp.gpb.ru/</w:t>
        </w:r>
      </w:hyperlink>
      <w:r>
        <w:rPr>
          <w:bCs/>
        </w:rPr>
        <w:t xml:space="preserve">.</w:t>
      </w:r>
      <w:r>
        <w:rPr>
          <w:bCs/>
        </w:rPr>
      </w:r>
      <w:r>
        <w:rPr>
          <w:bCs/>
        </w:rPr>
      </w:r>
    </w:p>
    <w:p>
      <w:pPr>
        <w:ind w:left="0" w:firstLine="0"/>
        <w:jc w:val="both"/>
        <w:rPr>
          <w:bCs/>
        </w:rPr>
      </w:pPr>
      <w:r>
        <w:rPr>
          <w:b/>
          <w:bCs/>
        </w:rPr>
        <w:t xml:space="preserve">14. Порядок подачи заявок:</w:t>
      </w:r>
      <w:r>
        <w:rPr>
          <w:bCs/>
        </w:rPr>
        <w:t xml:space="preserve"> в соответствии с документацией о публичном предложении в электронной форме и регламентом ЭТП ГПБ </w:t>
      </w:r>
      <w:hyperlink r:id="rId21" w:tooltip="https://etp.gpb.ru/" w:history="1">
        <w:r>
          <w:rPr>
            <w:rStyle w:val="934"/>
            <w:bCs/>
            <w:color w:val="auto"/>
          </w:rPr>
          <w:t xml:space="preserve">https://etp.gpb.ru/</w:t>
        </w:r>
      </w:hyperlink>
      <w:r>
        <w:rPr>
          <w:bCs/>
        </w:rPr>
      </w:r>
      <w:r>
        <w:rPr>
          <w:bCs/>
        </w:rPr>
      </w:r>
    </w:p>
    <w:p>
      <w:pPr>
        <w:jc w:val="both"/>
      </w:pPr>
      <w:r/>
      <w:r/>
    </w:p>
    <w:p>
      <w:pPr>
        <w:jc w:val="center"/>
        <w:tabs>
          <w:tab w:val="left" w:pos="-720" w:leader="none"/>
          <w:tab w:val="left" w:pos="720" w:leader="none"/>
          <w:tab w:val="left" w:pos="900" w:leader="none"/>
        </w:tabs>
        <w:rPr>
          <w:b/>
          <w:bCs/>
          <w:color w:val="000000"/>
        </w:rPr>
      </w:pPr>
      <w:r>
        <w:rPr>
          <w:b/>
          <w:bCs/>
          <w:color w:val="000000"/>
        </w:rPr>
        <w:t xml:space="preserve">УСЛОВИЯ ПРОВЕДЕНИЯ ПРОДАЖИ ПОСРЕДСТВОМ ПУБЛИЧНОГО ПРЕДЛОЖЕНИЯ</w:t>
      </w:r>
      <w:r>
        <w:rPr>
          <w:b/>
          <w:bCs/>
          <w:color w:val="000000"/>
        </w:rPr>
      </w:r>
      <w:r>
        <w:rPr>
          <w:b/>
          <w:bCs/>
          <w:color w:val="000000"/>
        </w:rPr>
      </w:r>
    </w:p>
    <w:p>
      <w:pPr>
        <w:ind w:firstLine="709"/>
        <w:jc w:val="center"/>
        <w:tabs>
          <w:tab w:val="left" w:pos="-720" w:leader="none"/>
          <w:tab w:val="left" w:pos="720" w:leader="none"/>
          <w:tab w:val="left" w:pos="900" w:leader="none"/>
        </w:tabs>
        <w:rPr>
          <w:b/>
          <w:bCs/>
          <w:color w:val="000000"/>
        </w:rPr>
      </w:pPr>
      <w:r>
        <w:rPr>
          <w:b/>
          <w:bCs/>
          <w:color w:val="000000"/>
        </w:rPr>
      </w:r>
      <w:r>
        <w:rPr>
          <w:b/>
          <w:bCs/>
          <w:color w:val="000000"/>
        </w:rPr>
      </w:r>
      <w:r>
        <w:rPr>
          <w:b/>
          <w:bCs/>
          <w:color w:val="000000"/>
        </w:rPr>
      </w:r>
    </w:p>
    <w:p>
      <w:pPr>
        <w:contextualSpacing/>
        <w:ind w:left="709"/>
        <w:jc w:val="both"/>
        <w:spacing w:line="24" w:lineRule="atLeast"/>
        <w:tabs>
          <w:tab w:val="left" w:pos="1134" w:leader="none"/>
        </w:tabs>
        <w:rPr>
          <w:rFonts w:eastAsia="Calibri"/>
          <w:b/>
        </w:rPr>
      </w:pPr>
      <w:r>
        <w:rPr>
          <w:rFonts w:eastAsia="Calibri"/>
          <w:b/>
        </w:rPr>
        <w:t xml:space="preserve">Подача заявки на участие в публичном предложении</w:t>
      </w:r>
      <w:r>
        <w:rPr>
          <w:rFonts w:eastAsia="Calibri"/>
          <w:b/>
        </w:rPr>
      </w:r>
      <w:r>
        <w:rPr>
          <w:rFonts w:eastAsia="Calibri"/>
          <w:b/>
        </w:rPr>
      </w:r>
    </w:p>
    <w:p>
      <w:pPr>
        <w:numPr>
          <w:ilvl w:val="1"/>
          <w:numId w:val="38"/>
        </w:numPr>
        <w:contextualSpacing/>
        <w:ind w:left="0" w:firstLine="709"/>
        <w:jc w:val="both"/>
        <w:spacing w:after="3" w:line="24" w:lineRule="atLeast"/>
        <w:tabs>
          <w:tab w:val="left" w:pos="993" w:leader="none"/>
        </w:tabs>
        <w:rPr>
          <w:rFonts w:eastAsia="Calibri"/>
        </w:rPr>
      </w:pPr>
      <w:r>
        <w:rPr>
          <w:rFonts w:eastAsia="Calibri"/>
        </w:rPr>
        <w:t xml:space="preserve">ЭТП ГПБ обеспечивает для Участников функционал подачи заявок на участие в публичном предложении.</w:t>
      </w:r>
      <w:r>
        <w:rPr>
          <w:rFonts w:eastAsia="Calibri"/>
        </w:rPr>
      </w:r>
      <w:r>
        <w:rPr>
          <w:rFonts w:eastAsia="Calibri"/>
        </w:rPr>
      </w:r>
    </w:p>
    <w:p>
      <w:pPr>
        <w:numPr>
          <w:ilvl w:val="1"/>
          <w:numId w:val="38"/>
        </w:numPr>
        <w:contextualSpacing/>
        <w:ind w:left="0" w:firstLine="709"/>
        <w:jc w:val="both"/>
        <w:spacing w:after="3" w:line="24" w:lineRule="atLeast"/>
        <w:tabs>
          <w:tab w:val="left" w:pos="993" w:leader="none"/>
        </w:tabs>
        <w:rPr>
          <w:rFonts w:eastAsia="Calibri"/>
        </w:rPr>
      </w:pPr>
      <w:r>
        <w:rPr>
          <w:rFonts w:eastAsia="Calibri"/>
        </w:rPr>
        <w:t xml:space="preserve">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r>
        <w:rPr>
          <w:rFonts w:eastAsia="Calibri"/>
        </w:rPr>
      </w:r>
      <w:r>
        <w:rPr>
          <w:rFonts w:eastAsia="Calibri"/>
        </w:rPr>
      </w:r>
    </w:p>
    <w:p>
      <w:pPr>
        <w:numPr>
          <w:ilvl w:val="1"/>
          <w:numId w:val="38"/>
        </w:numPr>
        <w:contextualSpacing/>
        <w:ind w:left="0" w:firstLine="709"/>
        <w:jc w:val="both"/>
        <w:spacing w:after="3" w:line="24" w:lineRule="atLeast"/>
        <w:tabs>
          <w:tab w:val="left" w:pos="993" w:leader="none"/>
        </w:tabs>
        <w:rPr>
          <w:rFonts w:eastAsia="Calibri"/>
        </w:rPr>
      </w:pPr>
      <w:r>
        <w:rPr>
          <w:rFonts w:eastAsia="Calibri"/>
        </w:rPr>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r>
        <w:rPr>
          <w:rFonts w:eastAsia="Calibri"/>
        </w:rPr>
      </w:r>
      <w:r>
        <w:rPr>
          <w:rFonts w:eastAsia="Calibri"/>
        </w:rPr>
      </w:r>
    </w:p>
    <w:p>
      <w:pPr>
        <w:numPr>
          <w:ilvl w:val="1"/>
          <w:numId w:val="38"/>
        </w:numPr>
        <w:contextualSpacing/>
        <w:ind w:left="0" w:firstLine="709"/>
        <w:jc w:val="both"/>
        <w:spacing w:after="3" w:line="24" w:lineRule="atLeast"/>
        <w:tabs>
          <w:tab w:val="left" w:pos="993" w:leader="none"/>
        </w:tabs>
        <w:rPr>
          <w:spacing w:val="6"/>
        </w:rPr>
      </w:pPr>
      <w:r>
        <w:t xml:space="preserve">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w:t>
      </w:r>
      <w:r>
        <w:t xml:space="preserve">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r>
        <w:rPr>
          <w:spacing w:val="6"/>
        </w:rPr>
      </w:r>
      <w:r>
        <w:rPr>
          <w:spacing w:val="6"/>
        </w:rPr>
      </w:r>
    </w:p>
    <w:p>
      <w:pPr>
        <w:numPr>
          <w:ilvl w:val="1"/>
          <w:numId w:val="38"/>
        </w:numPr>
        <w:contextualSpacing/>
        <w:ind w:left="0" w:firstLine="709"/>
        <w:jc w:val="both"/>
        <w:spacing w:after="3" w:line="24" w:lineRule="atLeast"/>
        <w:tabs>
          <w:tab w:val="left" w:pos="993" w:leader="none"/>
        </w:tabs>
        <w:rPr>
          <w:rFonts w:eastAsia="Calibri"/>
          <w:spacing w:val="6"/>
        </w:rPr>
      </w:pPr>
      <w:r>
        <w:rPr>
          <w:rFonts w:eastAsia="Calibri"/>
          <w:spacing w:val="6"/>
        </w:rPr>
        <w:t xml:space="preserve">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публичном предложении.</w:t>
      </w:r>
      <w:r>
        <w:rPr>
          <w:rFonts w:eastAsia="Calibri"/>
          <w:spacing w:val="6"/>
        </w:rPr>
      </w:r>
      <w:r>
        <w:rPr>
          <w:rFonts w:eastAsia="Calibri"/>
          <w:spacing w:val="6"/>
        </w:rPr>
      </w:r>
    </w:p>
    <w:p>
      <w:pPr>
        <w:numPr>
          <w:ilvl w:val="1"/>
          <w:numId w:val="38"/>
        </w:numPr>
        <w:contextualSpacing/>
        <w:ind w:left="0" w:firstLine="709"/>
        <w:jc w:val="both"/>
        <w:spacing w:after="3" w:line="24" w:lineRule="atLeast"/>
        <w:tabs>
          <w:tab w:val="left" w:pos="993" w:leader="none"/>
        </w:tabs>
        <w:rPr>
          <w:rFonts w:eastAsia="Calibri"/>
        </w:rPr>
      </w:pPr>
      <w:r>
        <w:rPr>
          <w:rFonts w:eastAsia="Calibri"/>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r>
        <w:rPr>
          <w:rFonts w:eastAsia="Calibri"/>
        </w:rPr>
      </w:r>
      <w:r>
        <w:rPr>
          <w:rFonts w:eastAsia="Calibri"/>
        </w:rPr>
      </w:r>
    </w:p>
    <w:p>
      <w:pPr>
        <w:numPr>
          <w:ilvl w:val="1"/>
          <w:numId w:val="38"/>
        </w:numPr>
        <w:contextualSpacing/>
        <w:ind w:left="0" w:firstLine="709"/>
        <w:jc w:val="both"/>
        <w:spacing w:after="3" w:line="24" w:lineRule="atLeast"/>
        <w:tabs>
          <w:tab w:val="left" w:pos="993" w:leader="none"/>
        </w:tabs>
        <w:rPr>
          <w:rFonts w:eastAsia="Calibri"/>
        </w:rPr>
      </w:pPr>
      <w:r>
        <w:rPr>
          <w:rFonts w:eastAsia="Calibri"/>
        </w:rPr>
        <w:t xml:space="preserve">Подача заявителем заявки на участие в п</w:t>
      </w:r>
      <w:r>
        <w:rPr>
          <w:rFonts w:eastAsia="Calibri"/>
        </w:rPr>
        <w:t xml:space="preserve">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r>
        <w:rPr>
          <w:rFonts w:eastAsia="Calibri"/>
        </w:rPr>
      </w:r>
      <w:r>
        <w:rPr>
          <w:rFonts w:eastAsia="Calibri"/>
        </w:rPr>
      </w:r>
    </w:p>
    <w:p>
      <w:pPr>
        <w:contextualSpacing/>
        <w:ind w:left="709"/>
        <w:jc w:val="both"/>
        <w:spacing w:line="24" w:lineRule="atLeast"/>
        <w:tabs>
          <w:tab w:val="left" w:pos="993" w:leader="none"/>
        </w:tabs>
        <w:rPr>
          <w:rFonts w:eastAsia="Calibri"/>
        </w:rPr>
      </w:pPr>
      <w:r>
        <w:rPr>
          <w:rFonts w:eastAsia="Calibri"/>
        </w:rPr>
      </w:r>
      <w:r>
        <w:rPr>
          <w:rFonts w:eastAsia="Calibri"/>
        </w:rPr>
      </w:r>
      <w:r>
        <w:rPr>
          <w:rFonts w:eastAsia="Calibri"/>
        </w:rPr>
      </w:r>
    </w:p>
    <w:p>
      <w:pPr>
        <w:ind w:firstLine="709"/>
        <w:jc w:val="both"/>
        <w:spacing w:line="24" w:lineRule="atLeast"/>
        <w:tabs>
          <w:tab w:val="left" w:pos="1134" w:leader="none"/>
        </w:tabs>
        <w:rPr>
          <w:b/>
          <w:color w:val="000000"/>
        </w:rPr>
      </w:pPr>
      <w:r>
        <w:rPr>
          <w:b/>
          <w:color w:val="000000"/>
        </w:rPr>
        <w:t xml:space="preserve">Требования к Участникам</w:t>
      </w:r>
      <w:r>
        <w:rPr>
          <w:b/>
          <w:color w:val="000000"/>
        </w:rPr>
      </w:r>
      <w:r>
        <w:rPr>
          <w:b/>
          <w:color w:val="000000"/>
        </w:rPr>
      </w:r>
    </w:p>
    <w:p>
      <w:pPr>
        <w:ind w:firstLine="709"/>
        <w:jc w:val="both"/>
        <w:spacing w:line="24" w:lineRule="atLeast"/>
        <w:tabs>
          <w:tab w:val="left" w:pos="1134" w:leader="none"/>
        </w:tabs>
        <w:rPr>
          <w:color w:val="000000"/>
        </w:rPr>
      </w:pPr>
      <w:r>
        <w:rPr>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w:t>
      </w:r>
      <w:r>
        <w:rPr>
          <w:color w:val="000000"/>
        </w:rPr>
        <w:t xml:space="preserve">ГПБ  </w:t>
      </w:r>
      <w:hyperlink r:id="rId22" w:tooltip="https://etp.gpb.ru/" w:history="1">
        <w:r>
          <w:rPr>
            <w:rStyle w:val="934"/>
            <w:color w:val="0563c1"/>
          </w:rPr>
          <w:t xml:space="preserve">https://etp.gpb.ru/</w:t>
        </w:r>
      </w:hyperlink>
      <w:r>
        <w:rPr>
          <w:color w:val="000000"/>
        </w:rPr>
        <w:t xml:space="preserve">.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2. В установленный в извещении и документации срок предоставить: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w:t>
      </w:r>
      <w:r>
        <w:rPr>
          <w:color w:val="000000"/>
        </w:rPr>
        <w:t xml:space="preserve">ие реквизиты, номер ОГРН (для юридического лица); фамилия, имя, отчество, паспортные данные, сведения о месте жительства заявителя (для физического лица); номер контактного телефона, адрес электронной почты заявителя, ИНН; и приложить следующие документы: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б) сканированну</w:t>
      </w:r>
      <w:r>
        <w:rPr>
          <w:color w:val="000000"/>
        </w:rPr>
        <w:t xml:space="preserve">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w:t>
      </w:r>
      <w:r>
        <w:rPr>
          <w:color w:val="000000"/>
        </w:rPr>
        <w:t xml:space="preserve">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r>
        <w:rPr>
          <w:color w:val="000000"/>
        </w:rPr>
      </w:r>
      <w:r>
        <w:rPr>
          <w:color w:val="000000"/>
        </w:rPr>
      </w:r>
    </w:p>
    <w:p>
      <w:pPr>
        <w:ind w:firstLine="709"/>
        <w:jc w:val="both"/>
        <w:spacing w:line="24" w:lineRule="atLeast"/>
        <w:tabs>
          <w:tab w:val="left" w:pos="1134" w:leader="none"/>
        </w:tabs>
        <w:rPr>
          <w:b/>
          <w:color w:val="000000"/>
        </w:rPr>
      </w:pPr>
      <w:r>
        <w:rPr>
          <w:b/>
          <w:color w:val="000000"/>
        </w:rPr>
      </w:r>
      <w:r>
        <w:rPr>
          <w:b/>
          <w:color w:val="000000"/>
        </w:rPr>
      </w:r>
      <w:r>
        <w:rPr>
          <w:b/>
          <w:color w:val="000000"/>
        </w:rPr>
      </w:r>
    </w:p>
    <w:p>
      <w:pPr>
        <w:ind w:firstLine="709"/>
        <w:jc w:val="both"/>
        <w:spacing w:line="24" w:lineRule="atLeast"/>
        <w:tabs>
          <w:tab w:val="left" w:pos="1134" w:leader="none"/>
        </w:tabs>
        <w:rPr>
          <w:b/>
          <w:color w:val="000000"/>
        </w:rPr>
      </w:pPr>
      <w:r>
        <w:rPr>
          <w:b/>
          <w:color w:val="000000"/>
        </w:rPr>
        <w:t xml:space="preserve">Юридические лица дополнительно представляют:</w:t>
      </w:r>
      <w:r>
        <w:rPr>
          <w:b/>
          <w:color w:val="000000"/>
        </w:rPr>
      </w:r>
      <w:r>
        <w:rPr>
          <w:b/>
          <w:color w:val="000000"/>
        </w:rPr>
      </w:r>
    </w:p>
    <w:p>
      <w:pPr>
        <w:ind w:firstLine="709"/>
        <w:jc w:val="both"/>
        <w:spacing w:line="24" w:lineRule="atLeast"/>
        <w:tabs>
          <w:tab w:val="left" w:pos="1134" w:leader="none"/>
        </w:tabs>
        <w:rPr>
          <w:color w:val="000000"/>
        </w:rPr>
      </w:pPr>
      <w:r>
        <w:rPr>
          <w:color w:val="000000"/>
        </w:rPr>
        <w:t xml:space="preserve">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г) нотариально удостоверенную копию свидетельства о внесении записи в Единый государственный реестр юридических лиц.</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д) нотариально удостоверенную копию свидетельства о постановке на учет в налоговом органе.</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е) сканированную копию согласия на совершение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w:t>
      </w:r>
      <w:r>
        <w:rPr>
          <w:color w:val="000000"/>
        </w:rPr>
        <w:t xml:space="preserve">ованностью установлено законодательством РФ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w:t>
      </w:r>
      <w:r>
        <w:rPr>
          <w:color w:val="000000"/>
        </w:rPr>
        <w:t xml:space="preserve">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ж) сканированную копию документа, подтверждающего полномочия руководителя;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з) доверенность или иной документ, подтверждающий полномочия лица, действовать от имени заявителя (в случае подачи заявки уполномоченным лицом); </w:t>
      </w:r>
      <w:r>
        <w:rPr>
          <w:color w:val="000000"/>
        </w:rPr>
      </w:r>
      <w:r>
        <w:rPr>
          <w:color w:val="000000"/>
        </w:rPr>
      </w:r>
    </w:p>
    <w:p>
      <w:pPr>
        <w:ind w:firstLine="709"/>
        <w:jc w:val="both"/>
        <w:spacing w:line="24" w:lineRule="atLeast"/>
        <w:tabs>
          <w:tab w:val="left" w:pos="1134" w:leader="none"/>
        </w:tabs>
        <w:rPr>
          <w:color w:val="000000"/>
        </w:rPr>
      </w:pPr>
      <w:r>
        <w:rPr>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r>
        <w:rPr>
          <w:color w:val="000000"/>
        </w:rPr>
      </w:r>
      <w:r>
        <w:rPr>
          <w:color w:val="000000"/>
        </w:rPr>
      </w:r>
    </w:p>
    <w:p>
      <w:pPr>
        <w:ind w:firstLine="709"/>
        <w:jc w:val="both"/>
        <w:spacing w:line="24" w:lineRule="atLeast"/>
        <w:tabs>
          <w:tab w:val="left" w:pos="1134" w:leader="none"/>
        </w:tabs>
        <w:rPr>
          <w:rFonts w:eastAsia="Calibri"/>
          <w:color w:val="000000"/>
          <w:lang w:eastAsia="en-US"/>
        </w:rPr>
      </w:pPr>
      <w:r>
        <w:rPr>
          <w:rFonts w:eastAsia="Calibri"/>
          <w:color w:val="000000"/>
          <w:lang w:eastAsia="en-US"/>
        </w:rPr>
        <w:t xml:space="preserve">3.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r>
        <w:rPr>
          <w:rFonts w:eastAsia="Calibri"/>
          <w:color w:val="000000"/>
          <w:lang w:eastAsia="en-US"/>
        </w:rPr>
      </w:r>
      <w:r>
        <w:rPr>
          <w:rFonts w:eastAsia="Calibri"/>
          <w:color w:val="000000"/>
          <w:lang w:eastAsia="en-US"/>
        </w:rPr>
      </w:r>
    </w:p>
    <w:p>
      <w:pPr>
        <w:ind w:firstLine="709"/>
        <w:jc w:val="both"/>
        <w:spacing w:line="24" w:lineRule="atLeast"/>
        <w:tabs>
          <w:tab w:val="left" w:pos="1134" w:leader="none"/>
        </w:tabs>
        <w:rPr>
          <w:b/>
          <w:color w:val="000000"/>
        </w:rPr>
      </w:pPr>
      <w:r>
        <w:rPr>
          <w:b/>
          <w:color w:val="000000"/>
        </w:rPr>
      </w:r>
      <w:r>
        <w:rPr>
          <w:b/>
          <w:color w:val="000000"/>
        </w:rPr>
      </w:r>
      <w:r>
        <w:rPr>
          <w:b/>
          <w:color w:val="000000"/>
        </w:rPr>
      </w:r>
    </w:p>
    <w:p>
      <w:pPr>
        <w:ind w:firstLine="709"/>
        <w:jc w:val="both"/>
        <w:spacing w:line="24" w:lineRule="atLeast"/>
        <w:tabs>
          <w:tab w:val="left" w:pos="1134" w:leader="none"/>
        </w:tabs>
        <w:rPr>
          <w:b/>
          <w:color w:val="000000"/>
        </w:rPr>
      </w:pPr>
      <w:r>
        <w:rPr>
          <w:b/>
          <w:color w:val="000000"/>
        </w:rPr>
        <w:t xml:space="preserve">Рассмотрение заявок и допуск к участию в публичном предложении</w:t>
      </w:r>
      <w:r>
        <w:rPr>
          <w:b/>
          <w:color w:val="000000"/>
        </w:rPr>
      </w:r>
      <w:r>
        <w:rPr>
          <w:b/>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color w:val="000000"/>
        </w:rPr>
        <w:t xml:space="preserve">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открытой части ЭТП ГПБ.</w:t>
      </w:r>
      <w:r>
        <w:rPr>
          <w:color w:val="000000"/>
        </w:rPr>
      </w:r>
      <w:r>
        <w:rPr>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color w:val="000000"/>
        </w:rPr>
        <w:t xml:space="preserve">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r>
        <w:rPr>
          <w:color w:val="000000"/>
        </w:rPr>
      </w:r>
      <w:r>
        <w:rPr>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color w:val="000000"/>
        </w:rPr>
        <w:t xml:space="preserve">На ЭТП ГПБ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r>
        <w:rPr>
          <w:color w:val="000000"/>
        </w:rPr>
      </w:r>
      <w:r>
        <w:rPr>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bCs/>
          <w:color w:val="000000"/>
        </w:rPr>
        <w:t xml:space="preserve">Организатор производит рассмотрение заявок в срок рассмотрения, указанный им в извещении о проведении публичного предложения.</w:t>
      </w:r>
      <w:r>
        <w:rPr>
          <w:color w:val="000000"/>
        </w:rPr>
      </w:r>
      <w:r>
        <w:rPr>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bCs/>
          <w:color w:val="000000"/>
        </w:rPr>
        <w:t xml:space="preserve">По итогам рассмотрения заявок Организатор</w:t>
      </w:r>
      <w:r>
        <w:rPr>
          <w:color w:val="000000"/>
        </w:rPr>
        <w:t xml:space="preserve"> принимает решение о допуске (об отказе в допуске) Пользователей к участию в публичном </w:t>
      </w:r>
      <w:r>
        <w:rPr>
          <w:color w:val="000000"/>
        </w:rPr>
        <w:t xml:space="preserve">предолжении</w:t>
      </w:r>
      <w:r>
        <w:rPr>
          <w:color w:val="000000"/>
        </w:rPr>
        <w:t xml:space="preserve"> и формирует протокол рассмотрения заявок. </w:t>
      </w:r>
      <w:r>
        <w:rPr>
          <w:color w:val="000000"/>
        </w:rPr>
      </w:r>
      <w:r>
        <w:rPr>
          <w:color w:val="000000"/>
        </w:rPr>
      </w:r>
    </w:p>
    <w:p>
      <w:pPr>
        <w:numPr>
          <w:ilvl w:val="1"/>
          <w:numId w:val="39"/>
        </w:numPr>
        <w:contextualSpacing/>
        <w:ind w:left="0" w:firstLine="709"/>
        <w:jc w:val="both"/>
        <w:spacing w:after="3" w:line="24" w:lineRule="atLeast"/>
        <w:tabs>
          <w:tab w:val="left" w:pos="993" w:leader="none"/>
          <w:tab w:val="left" w:pos="1134" w:leader="none"/>
        </w:tabs>
        <w:rPr>
          <w:color w:val="000000"/>
        </w:rPr>
      </w:pPr>
      <w:r>
        <w:rPr>
          <w:color w:val="000000"/>
        </w:rPr>
        <w:t xml:space="preserve">Участник не допускается к участию в публичном предложении в следующих случаях: </w:t>
      </w:r>
      <w:r>
        <w:rPr>
          <w:color w:val="000000"/>
        </w:rPr>
      </w:r>
      <w:r>
        <w:rPr>
          <w:color w:val="000000"/>
        </w:rPr>
      </w:r>
    </w:p>
    <w:p>
      <w:pPr>
        <w:numPr>
          <w:ilvl w:val="0"/>
          <w:numId w:val="36"/>
        </w:numPr>
        <w:contextualSpacing/>
        <w:ind w:left="0" w:firstLine="709"/>
        <w:jc w:val="both"/>
        <w:spacing w:after="3" w:line="24" w:lineRule="atLeast"/>
        <w:tabs>
          <w:tab w:val="left" w:pos="993" w:leader="none"/>
          <w:tab w:val="left" w:pos="1134" w:leader="none"/>
        </w:tabs>
        <w:rPr>
          <w:color w:val="000000"/>
        </w:rPr>
      </w:pPr>
      <w:r>
        <w:rPr>
          <w:color w:val="000000"/>
        </w:rPr>
        <w:t xml:space="preserve">заявка подана лицом, не уполномоченным Участником на осуществление таких действий; </w:t>
      </w:r>
      <w:r>
        <w:rPr>
          <w:color w:val="000000"/>
        </w:rPr>
      </w:r>
      <w:r>
        <w:rPr>
          <w:color w:val="000000"/>
        </w:rPr>
      </w:r>
    </w:p>
    <w:p>
      <w:pPr>
        <w:numPr>
          <w:ilvl w:val="0"/>
          <w:numId w:val="36"/>
        </w:numPr>
        <w:contextualSpacing/>
        <w:ind w:left="0" w:firstLine="709"/>
        <w:jc w:val="both"/>
        <w:spacing w:after="3" w:line="24" w:lineRule="atLeast"/>
        <w:tabs>
          <w:tab w:val="left" w:pos="993" w:leader="none"/>
          <w:tab w:val="left" w:pos="1134" w:leader="none"/>
        </w:tabs>
        <w:rPr>
          <w:color w:val="000000"/>
        </w:rPr>
      </w:pPr>
      <w:r>
        <w:rPr>
          <w:color w:val="000000"/>
        </w:rPr>
        <w:t xml:space="preserve">предоставлены не все документы по перечню, опубликованному в Информационном сообщении о проведении публичного предложения; </w:t>
      </w:r>
      <w:r>
        <w:rPr>
          <w:color w:val="000000"/>
        </w:rPr>
      </w:r>
      <w:r>
        <w:rPr>
          <w:color w:val="000000"/>
        </w:rPr>
      </w:r>
    </w:p>
    <w:p>
      <w:pPr>
        <w:numPr>
          <w:ilvl w:val="0"/>
          <w:numId w:val="36"/>
        </w:numPr>
        <w:contextualSpacing/>
        <w:ind w:left="0" w:firstLine="709"/>
        <w:jc w:val="both"/>
        <w:spacing w:after="3" w:line="24" w:lineRule="atLeast"/>
        <w:tabs>
          <w:tab w:val="left" w:pos="993" w:leader="none"/>
          <w:tab w:val="left" w:pos="1134" w:leader="none"/>
        </w:tabs>
        <w:rPr>
          <w:color w:val="000000"/>
        </w:rPr>
      </w:pPr>
      <w:r>
        <w:rPr>
          <w:color w:val="000000"/>
        </w:rPr>
        <w:t xml:space="preserve">участником предоставлены недостоверные сведения;</w:t>
      </w:r>
      <w:r>
        <w:rPr>
          <w:color w:val="000000"/>
        </w:rPr>
      </w:r>
      <w:r>
        <w:rPr>
          <w:color w:val="000000"/>
        </w:rPr>
      </w:r>
    </w:p>
    <w:p>
      <w:pPr>
        <w:numPr>
          <w:ilvl w:val="0"/>
          <w:numId w:val="36"/>
        </w:numPr>
        <w:contextualSpacing/>
        <w:ind w:left="0" w:firstLine="709"/>
        <w:jc w:val="both"/>
        <w:spacing w:after="3" w:line="24" w:lineRule="atLeast"/>
        <w:tabs>
          <w:tab w:val="left" w:pos="993" w:leader="none"/>
          <w:tab w:val="left" w:pos="1134" w:leader="none"/>
        </w:tabs>
        <w:rPr>
          <w:color w:val="000000"/>
        </w:rPr>
      </w:pPr>
      <w:r>
        <w:rPr>
          <w:color w:val="000000"/>
        </w:rPr>
        <w:t xml:space="preserve">сумма задатка поступила на счет Организатора не в полном объеме (в </w:t>
      </w:r>
      <w:r>
        <w:rPr>
          <w:color w:val="000000"/>
        </w:rPr>
        <w:t xml:space="preserve">т.ч</w:t>
      </w:r>
      <w:r>
        <w:rPr>
          <w:color w:val="000000"/>
        </w:rPr>
        <w:t xml:space="preserve">. не поступила на счет Организатора) </w:t>
      </w:r>
      <w:r>
        <w:rPr>
          <w:color w:val="000000"/>
        </w:rPr>
        <w:t xml:space="preserve">или  поступила</w:t>
      </w:r>
      <w:r>
        <w:rPr>
          <w:color w:val="000000"/>
        </w:rPr>
        <w:t xml:space="preserve"> позднее установленного срока. </w:t>
      </w:r>
      <w:r>
        <w:rPr>
          <w:color w:val="000000"/>
        </w:rPr>
      </w:r>
      <w:r>
        <w:rPr>
          <w:color w:val="000000"/>
        </w:rPr>
      </w:r>
    </w:p>
    <w:p>
      <w:pPr>
        <w:ind w:firstLine="709"/>
        <w:jc w:val="both"/>
        <w:spacing w:line="24" w:lineRule="atLeast"/>
        <w:tabs>
          <w:tab w:val="left" w:pos="1134" w:leader="none"/>
        </w:tabs>
        <w:rPr>
          <w:b/>
          <w:color w:val="000000"/>
        </w:rPr>
      </w:pPr>
      <w:r>
        <w:rPr>
          <w:b/>
          <w:color w:val="000000"/>
        </w:rPr>
      </w:r>
      <w:r>
        <w:rPr>
          <w:b/>
          <w:color w:val="000000"/>
        </w:rPr>
      </w:r>
      <w:r>
        <w:rPr>
          <w:b/>
          <w:color w:val="000000"/>
        </w:rPr>
      </w:r>
    </w:p>
    <w:p>
      <w:pPr>
        <w:ind w:firstLine="709"/>
        <w:jc w:val="both"/>
        <w:spacing w:line="24" w:lineRule="atLeast"/>
        <w:tabs>
          <w:tab w:val="left" w:pos="1134" w:leader="none"/>
        </w:tabs>
        <w:rPr>
          <w:b/>
          <w:color w:val="000000"/>
        </w:rPr>
      </w:pPr>
      <w:r>
        <w:rPr>
          <w:b/>
          <w:color w:val="000000"/>
        </w:rPr>
        <w:t xml:space="preserve">Порядок проведения публичного предложения:</w:t>
      </w:r>
      <w:r>
        <w:rPr>
          <w:b/>
          <w:color w:val="000000"/>
        </w:rPr>
      </w:r>
      <w:r>
        <w:rPr>
          <w:b/>
          <w:color w:val="000000"/>
        </w:rPr>
      </w:r>
    </w:p>
    <w:p>
      <w:pPr>
        <w:numPr>
          <w:ilvl w:val="0"/>
          <w:numId w:val="40"/>
        </w:numPr>
        <w:contextualSpacing/>
        <w:ind w:left="0" w:firstLine="709"/>
        <w:jc w:val="both"/>
        <w:spacing w:after="3" w:line="24" w:lineRule="atLeast"/>
        <w:tabs>
          <w:tab w:val="left" w:pos="993" w:leader="none"/>
        </w:tabs>
        <w:rPr>
          <w:color w:val="000000"/>
        </w:rPr>
      </w:pPr>
      <w:r>
        <w:rPr>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r>
        <w:rPr>
          <w:color w:val="000000"/>
        </w:rPr>
      </w:r>
      <w:r>
        <w:rPr>
          <w:color w:val="000000"/>
        </w:rPr>
      </w:r>
    </w:p>
    <w:p>
      <w:pPr>
        <w:numPr>
          <w:ilvl w:val="0"/>
          <w:numId w:val="40"/>
        </w:numPr>
        <w:contextualSpacing/>
        <w:ind w:left="0" w:firstLine="709"/>
        <w:jc w:val="both"/>
        <w:spacing w:after="3" w:line="24" w:lineRule="atLeast"/>
        <w:tabs>
          <w:tab w:val="left" w:pos="993" w:leader="none"/>
        </w:tabs>
        <w:rPr>
          <w:color w:val="000000"/>
        </w:rPr>
      </w:pPr>
      <w:r>
        <w:rPr>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r>
        <w:rPr>
          <w:color w:val="000000"/>
        </w:rPr>
      </w:r>
      <w:r>
        <w:rPr>
          <w:color w:val="000000"/>
        </w:rPr>
      </w:r>
    </w:p>
    <w:p>
      <w:pPr>
        <w:numPr>
          <w:ilvl w:val="0"/>
          <w:numId w:val="40"/>
        </w:numPr>
        <w:contextualSpacing/>
        <w:ind w:left="0" w:firstLine="709"/>
        <w:jc w:val="both"/>
        <w:spacing w:after="3" w:line="24" w:lineRule="atLeast"/>
        <w:tabs>
          <w:tab w:val="left" w:pos="993" w:leader="none"/>
        </w:tabs>
        <w:rPr>
          <w:color w:val="000000"/>
        </w:rPr>
      </w:pPr>
      <w:r>
        <w:rPr>
          <w:color w:val="000000"/>
        </w:rPr>
        <w:t xml:space="preserve">ЭТП ГПБ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w:t>
      </w:r>
      <w:r>
        <w:rPr>
          <w:color w:val="000000"/>
        </w:rPr>
        <w:t xml:space="preserve">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 ГПБ. </w:t>
      </w:r>
      <w:r>
        <w:rPr>
          <w:color w:val="000000"/>
        </w:rPr>
      </w:r>
      <w:r>
        <w:rPr>
          <w:color w:val="000000"/>
        </w:rPr>
      </w:r>
    </w:p>
    <w:p>
      <w:pPr>
        <w:numPr>
          <w:ilvl w:val="0"/>
          <w:numId w:val="40"/>
        </w:numPr>
        <w:contextualSpacing/>
        <w:ind w:left="0" w:firstLine="709"/>
        <w:jc w:val="both"/>
        <w:spacing w:after="3" w:line="24" w:lineRule="atLeast"/>
        <w:tabs>
          <w:tab w:val="left" w:pos="993" w:leader="none"/>
        </w:tabs>
        <w:rPr>
          <w:color w:val="000000"/>
        </w:rPr>
      </w:pPr>
      <w:r>
        <w:rPr>
          <w:color w:val="000000"/>
        </w:rPr>
        <w:t xml:space="preserve">Сроки и шаг подачи ценовых предложений в ходе публичного предложения указывается Организатором в извещении о проведении публичного предложения.</w:t>
      </w:r>
      <w:r>
        <w:rPr>
          <w:color w:val="000000"/>
        </w:rPr>
      </w:r>
      <w:r>
        <w:rPr>
          <w:color w:val="000000"/>
        </w:rPr>
      </w:r>
    </w:p>
    <w:p>
      <w:pPr>
        <w:numPr>
          <w:ilvl w:val="0"/>
          <w:numId w:val="40"/>
        </w:numPr>
        <w:contextualSpacing/>
        <w:ind w:left="0" w:firstLine="709"/>
        <w:jc w:val="both"/>
        <w:spacing w:after="3" w:line="24" w:lineRule="atLeast"/>
        <w:tabs>
          <w:tab w:val="left" w:pos="993" w:leader="none"/>
        </w:tabs>
        <w:rPr>
          <w:color w:val="000000"/>
        </w:rPr>
      </w:pPr>
      <w:r>
        <w:rPr>
          <w:color w:val="000000"/>
        </w:rPr>
        <w:t xml:space="preserve">С момента начала проведения публичного предложения Участники вправе подать свои предложения о цене договора. </w:t>
      </w:r>
      <w:r>
        <w:rPr>
          <w:color w:val="000000"/>
        </w:rPr>
      </w:r>
      <w:r>
        <w:rPr>
          <w:color w:val="000000"/>
        </w:rPr>
      </w:r>
    </w:p>
    <w:p>
      <w:pPr>
        <w:numPr>
          <w:ilvl w:val="0"/>
          <w:numId w:val="40"/>
        </w:numPr>
        <w:contextualSpacing/>
        <w:ind w:left="0" w:firstLine="709"/>
        <w:jc w:val="both"/>
        <w:spacing w:after="3" w:line="256" w:lineRule="auto"/>
        <w:tabs>
          <w:tab w:val="left" w:pos="993" w:leader="none"/>
        </w:tabs>
        <w:rPr>
          <w:color w:val="000000"/>
        </w:rPr>
      </w:pPr>
      <w:r>
        <w:rPr>
          <w:color w:val="000000"/>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r>
        <w:rPr>
          <w:color w:val="000000"/>
        </w:rPr>
      </w:r>
      <w:r>
        <w:rPr>
          <w:color w:val="000000"/>
        </w:rPr>
      </w:r>
    </w:p>
    <w:p>
      <w:pPr>
        <w:numPr>
          <w:ilvl w:val="0"/>
          <w:numId w:val="40"/>
        </w:numPr>
        <w:contextualSpacing/>
        <w:ind w:left="0" w:firstLine="709"/>
        <w:jc w:val="both"/>
        <w:spacing w:after="3" w:line="256" w:lineRule="auto"/>
        <w:tabs>
          <w:tab w:val="left" w:pos="993" w:leader="none"/>
          <w:tab w:val="left" w:pos="1276" w:leader="none"/>
        </w:tabs>
        <w:rPr>
          <w:color w:val="000000"/>
        </w:rPr>
      </w:pPr>
      <w:r>
        <w:rPr>
          <w:color w:val="000000"/>
        </w:rPr>
        <w:t xml:space="preserve">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r>
        <w:rPr>
          <w:color w:val="000000"/>
        </w:rPr>
      </w:r>
      <w:r>
        <w:rPr>
          <w:color w:val="000000"/>
        </w:rPr>
      </w:r>
    </w:p>
    <w:p>
      <w:pPr>
        <w:ind w:firstLine="709"/>
        <w:jc w:val="both"/>
        <w:tabs>
          <w:tab w:val="left" w:pos="993" w:leader="none"/>
          <w:tab w:val="left" w:pos="1276" w:leader="none"/>
        </w:tabs>
      </w:pPr>
      <w:r>
        <w:t xml:space="preserve">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r/>
    </w:p>
    <w:p>
      <w:pPr>
        <w:contextualSpacing/>
        <w:ind w:left="709"/>
        <w:jc w:val="both"/>
        <w:tabs>
          <w:tab w:val="left" w:pos="993" w:leader="none"/>
          <w:tab w:val="left" w:pos="1276" w:leader="none"/>
        </w:tabs>
      </w:pPr>
      <w:r>
        <w:t xml:space="preserve">9. Каждое ценовое предложение, подаваемое в ходе публичного предложения, подписывается ЭП. </w:t>
      </w:r>
      <w:r/>
    </w:p>
    <w:p>
      <w:pPr>
        <w:ind w:firstLine="709"/>
        <w:jc w:val="both"/>
        <w:tabs>
          <w:tab w:val="num" w:pos="0" w:leader="none"/>
          <w:tab w:val="left" w:pos="993" w:leader="none"/>
          <w:tab w:val="left" w:pos="1276" w:leader="none"/>
        </w:tabs>
      </w:pPr>
      <w:r>
        <w:t xml:space="preserve">10. При подаче ценового предложения </w:t>
      </w:r>
      <w:r>
        <w:t xml:space="preserve">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r/>
    </w:p>
    <w:p>
      <w:pPr>
        <w:ind w:firstLine="709"/>
        <w:jc w:val="both"/>
        <w:tabs>
          <w:tab w:val="num" w:pos="0" w:leader="none"/>
          <w:tab w:val="left" w:pos="993" w:leader="none"/>
          <w:tab w:val="left" w:pos="1276" w:leader="none"/>
        </w:tabs>
      </w:pPr>
      <w:r>
        <w:t xml:space="preserve">11. В сл</w:t>
      </w:r>
      <w:r>
        <w:t xml:space="preserve">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w:t>
      </w:r>
      <w:r/>
    </w:p>
    <w:p>
      <w:pPr>
        <w:ind w:firstLine="709"/>
        <w:jc w:val="both"/>
        <w:tabs>
          <w:tab w:val="num" w:pos="0" w:leader="none"/>
          <w:tab w:val="left" w:pos="993" w:leader="none"/>
          <w:tab w:val="left" w:pos="1276" w:leader="none"/>
        </w:tabs>
      </w:pPr>
      <w:r>
        <w:t xml:space="preserve">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r/>
    </w:p>
    <w:p>
      <w:pPr>
        <w:ind w:firstLine="709"/>
        <w:jc w:val="both"/>
        <w:tabs>
          <w:tab w:val="num" w:pos="0" w:leader="none"/>
          <w:tab w:val="left" w:pos="993" w:leader="none"/>
          <w:tab w:val="left" w:pos="1276" w:leader="none"/>
        </w:tabs>
      </w:pPr>
      <w:r>
        <w:t xml:space="preserve">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r/>
    </w:p>
    <w:p>
      <w:pPr>
        <w:ind w:firstLine="709"/>
        <w:jc w:val="both"/>
        <w:spacing w:line="288" w:lineRule="auto"/>
        <w:tabs>
          <w:tab w:val="num" w:pos="0" w:leader="none"/>
          <w:tab w:val="left" w:pos="993" w:leader="none"/>
          <w:tab w:val="left" w:pos="1276" w:leader="none"/>
        </w:tabs>
      </w:pPr>
      <w:r/>
      <w:r/>
    </w:p>
    <w:p>
      <w:pPr>
        <w:ind w:firstLine="709"/>
        <w:jc w:val="both"/>
        <w:spacing w:line="24" w:lineRule="atLeast"/>
        <w:tabs>
          <w:tab w:val="left" w:pos="993" w:leader="none"/>
        </w:tabs>
        <w:rPr>
          <w:b/>
          <w:color w:val="000000"/>
        </w:rPr>
      </w:pPr>
      <w:r>
        <w:rPr>
          <w:b/>
          <w:color w:val="000000"/>
        </w:rPr>
        <w:t xml:space="preserve">Порядок проведения итогов:</w:t>
      </w:r>
      <w:r>
        <w:rPr>
          <w:b/>
          <w:color w:val="000000"/>
        </w:rPr>
      </w:r>
      <w:r>
        <w:rPr>
          <w:b/>
          <w:color w:val="000000"/>
        </w:rPr>
      </w:r>
    </w:p>
    <w:p>
      <w:pPr>
        <w:numPr>
          <w:ilvl w:val="0"/>
          <w:numId w:val="41"/>
        </w:numPr>
        <w:contextualSpacing/>
        <w:ind w:left="0" w:firstLine="709"/>
        <w:jc w:val="both"/>
        <w:spacing w:after="3" w:line="24" w:lineRule="atLeast"/>
        <w:tabs>
          <w:tab w:val="left" w:pos="993" w:leader="none"/>
        </w:tabs>
        <w:rPr>
          <w:rFonts w:eastAsia="Calibri"/>
          <w:lang w:eastAsia="en-US"/>
        </w:rPr>
      </w:pPr>
      <w:r>
        <w:rPr>
          <w:rFonts w:eastAsia="Calibri"/>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r>
        <w:rPr>
          <w:rFonts w:eastAsia="Calibri"/>
          <w:lang w:eastAsia="en-US"/>
        </w:rPr>
      </w:r>
      <w:r>
        <w:rPr>
          <w:rFonts w:eastAsia="Calibri"/>
          <w:lang w:eastAsia="en-US"/>
        </w:rPr>
      </w:r>
    </w:p>
    <w:p>
      <w:pPr>
        <w:numPr>
          <w:ilvl w:val="0"/>
          <w:numId w:val="41"/>
        </w:numPr>
        <w:contextualSpacing/>
        <w:ind w:left="0" w:firstLine="709"/>
        <w:jc w:val="both"/>
        <w:spacing w:after="3" w:line="24" w:lineRule="atLeast"/>
        <w:tabs>
          <w:tab w:val="left" w:pos="993" w:leader="none"/>
        </w:tabs>
        <w:rPr>
          <w:rFonts w:eastAsia="Calibri"/>
          <w:lang w:eastAsia="en-US"/>
        </w:rPr>
      </w:pPr>
      <w:r>
        <w:rPr>
          <w:rFonts w:eastAsia="Calibri"/>
          <w:lang w:eastAsia="en-US"/>
        </w:rPr>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r>
        <w:rPr>
          <w:rFonts w:eastAsia="Calibri"/>
          <w:lang w:eastAsia="en-US"/>
        </w:rPr>
      </w:r>
      <w:r>
        <w:rPr>
          <w:rFonts w:eastAsia="Calibri"/>
          <w:lang w:eastAsia="en-US"/>
        </w:rPr>
      </w:r>
    </w:p>
    <w:p>
      <w:pPr>
        <w:numPr>
          <w:ilvl w:val="0"/>
          <w:numId w:val="41"/>
        </w:numPr>
        <w:contextualSpacing/>
        <w:ind w:left="0" w:firstLine="709"/>
        <w:jc w:val="both"/>
        <w:spacing w:after="3" w:line="24" w:lineRule="atLeast"/>
        <w:tabs>
          <w:tab w:val="left" w:pos="993" w:leader="none"/>
        </w:tabs>
        <w:rPr>
          <w:rFonts w:eastAsia="Calibri"/>
          <w:lang w:eastAsia="en-US"/>
        </w:rPr>
      </w:pPr>
      <w:r>
        <w:rPr>
          <w:rFonts w:eastAsia="Calibri"/>
          <w:lang w:eastAsia="en-US"/>
        </w:rPr>
        <w:t xml:space="preserve">По факту окончания публичного предложения Организатор публикует протокол подведения итогов.</w:t>
      </w:r>
      <w:r>
        <w:rPr>
          <w:rFonts w:eastAsia="Calibri"/>
          <w:lang w:eastAsia="en-US"/>
        </w:rPr>
      </w:r>
      <w:r>
        <w:rPr>
          <w:rFonts w:eastAsia="Calibri"/>
          <w:lang w:eastAsia="en-US"/>
        </w:rPr>
      </w:r>
    </w:p>
    <w:p>
      <w:pPr>
        <w:numPr>
          <w:ilvl w:val="0"/>
          <w:numId w:val="41"/>
        </w:numPr>
        <w:contextualSpacing/>
        <w:ind w:left="0" w:firstLine="709"/>
        <w:jc w:val="both"/>
        <w:spacing w:after="3" w:line="24" w:lineRule="atLeast"/>
        <w:tabs>
          <w:tab w:val="left" w:pos="993" w:leader="none"/>
        </w:tabs>
        <w:rPr>
          <w:rFonts w:eastAsia="Calibri"/>
          <w:lang w:eastAsia="en-US"/>
        </w:rPr>
      </w:pPr>
      <w:r>
        <w:rPr>
          <w:rFonts w:eastAsia="Calibri"/>
          <w:lang w:eastAsia="en-US"/>
        </w:rPr>
        <w:t xml:space="preserve">Торги признаются несостоявшимися в следующих случаях:</w:t>
      </w:r>
      <w:r>
        <w:rPr>
          <w:rFonts w:eastAsia="Calibri"/>
          <w:lang w:eastAsia="en-US"/>
        </w:rPr>
      </w:r>
      <w:r>
        <w:rPr>
          <w:rFonts w:eastAsia="Calibri"/>
          <w:lang w:eastAsia="en-US"/>
        </w:rPr>
      </w:r>
    </w:p>
    <w:p>
      <w:pPr>
        <w:contextualSpacing/>
        <w:ind w:left="709"/>
        <w:jc w:val="both"/>
        <w:spacing w:after="3" w:line="24" w:lineRule="atLeast"/>
        <w:tabs>
          <w:tab w:val="left" w:pos="993" w:leader="none"/>
        </w:tabs>
        <w:rPr>
          <w:rFonts w:eastAsia="Calibri"/>
          <w:lang w:eastAsia="en-US"/>
        </w:rPr>
      </w:pPr>
      <w:r>
        <w:rPr>
          <w:rFonts w:eastAsia="Calibri"/>
          <w:lang w:eastAsia="en-US"/>
        </w:rPr>
        <w:t xml:space="preserve">- при отсутствии заявок на участие в конкурентной процедуре, либо ни один из заявителей на участие не признан участником торгов;</w:t>
      </w:r>
      <w:r>
        <w:rPr>
          <w:rFonts w:eastAsia="Calibri"/>
          <w:lang w:eastAsia="en-US"/>
        </w:rPr>
      </w:r>
      <w:r>
        <w:rPr>
          <w:rFonts w:eastAsia="Calibri"/>
          <w:lang w:eastAsia="en-US"/>
        </w:rPr>
      </w:r>
    </w:p>
    <w:p>
      <w:pPr>
        <w:contextualSpacing/>
        <w:ind w:left="709"/>
        <w:jc w:val="both"/>
        <w:spacing w:after="3" w:line="24" w:lineRule="atLeast"/>
        <w:tabs>
          <w:tab w:val="left" w:pos="993" w:leader="none"/>
        </w:tabs>
        <w:rPr>
          <w:rFonts w:eastAsia="Calibri"/>
          <w:lang w:eastAsia="en-US"/>
        </w:rPr>
      </w:pPr>
      <w:r>
        <w:rPr>
          <w:rFonts w:eastAsia="Calibri"/>
          <w:lang w:eastAsia="en-US"/>
        </w:rPr>
        <w:t xml:space="preserve">- к участию в торгах допущен только один участник;</w:t>
      </w:r>
      <w:r>
        <w:rPr>
          <w:rFonts w:eastAsia="Calibri"/>
          <w:lang w:eastAsia="en-US"/>
        </w:rPr>
      </w:r>
      <w:r>
        <w:rPr>
          <w:rFonts w:eastAsia="Calibri"/>
          <w:lang w:eastAsia="en-US"/>
        </w:rPr>
      </w:r>
    </w:p>
    <w:p>
      <w:pPr>
        <w:contextualSpacing/>
        <w:ind w:left="709"/>
        <w:jc w:val="both"/>
        <w:spacing w:after="3" w:line="24" w:lineRule="atLeast"/>
        <w:tabs>
          <w:tab w:val="left" w:pos="993" w:leader="none"/>
        </w:tabs>
        <w:rPr>
          <w:rFonts w:eastAsia="Calibri"/>
          <w:lang w:eastAsia="en-US"/>
        </w:rPr>
      </w:pPr>
      <w:r>
        <w:rPr>
          <w:rFonts w:eastAsia="Calibri"/>
          <w:lang w:eastAsia="en-US"/>
        </w:rPr>
        <w:t xml:space="preserve">- ни один из участников не сделал ценовое предложение в ходе проведения конкурентной процедуры.</w:t>
      </w:r>
      <w:r>
        <w:rPr>
          <w:rFonts w:eastAsia="Calibri"/>
          <w:lang w:eastAsia="en-US"/>
        </w:rPr>
      </w:r>
      <w:r>
        <w:rPr>
          <w:rFonts w:eastAsia="Calibri"/>
          <w:lang w:eastAsia="en-US"/>
        </w:rPr>
      </w:r>
    </w:p>
    <w:p>
      <w:pPr>
        <w:contextualSpacing/>
        <w:ind w:firstLine="709"/>
        <w:jc w:val="both"/>
        <w:spacing w:after="3" w:line="24" w:lineRule="atLeast"/>
        <w:tabs>
          <w:tab w:val="left" w:pos="0" w:leader="none"/>
        </w:tabs>
        <w:rPr>
          <w:rFonts w:eastAsia="Calibri"/>
          <w:lang w:eastAsia="en-US"/>
        </w:rPr>
      </w:pPr>
      <w:r>
        <w:rPr>
          <w:rFonts w:eastAsia="Calibri"/>
          <w:lang w:eastAsia="en-US"/>
        </w:rPr>
        <w:t xml:space="preserve">В случае признания торгов несостоявшимися Организатором торгов формируется протокол о признании процедуры несостоявшейся</w:t>
      </w:r>
      <w:r>
        <w:rPr>
          <w:rFonts w:eastAsia="Calibri"/>
          <w:lang w:eastAsia="en-US"/>
        </w:rPr>
      </w:r>
      <w:r>
        <w:rPr>
          <w:rFonts w:eastAsia="Calibri"/>
          <w:lang w:eastAsia="en-US"/>
        </w:rPr>
      </w:r>
    </w:p>
    <w:p>
      <w:pPr>
        <w:ind w:firstLine="709"/>
        <w:jc w:val="both"/>
        <w:spacing w:line="24" w:lineRule="atLeast"/>
        <w:tabs>
          <w:tab w:val="left" w:pos="993" w:leader="none"/>
        </w:tabs>
        <w:rPr>
          <w:b/>
          <w:bCs/>
          <w:color w:val="000000"/>
        </w:rPr>
      </w:pPr>
      <w:r>
        <w:rPr>
          <w:b/>
          <w:bCs/>
          <w:color w:val="000000"/>
        </w:rPr>
      </w:r>
      <w:r>
        <w:rPr>
          <w:b/>
          <w:bCs/>
          <w:color w:val="000000"/>
        </w:rPr>
      </w:r>
      <w:r>
        <w:rPr>
          <w:b/>
          <w:bCs/>
          <w:color w:val="000000"/>
        </w:rPr>
      </w:r>
    </w:p>
    <w:p>
      <w:pPr>
        <w:ind w:firstLine="709"/>
        <w:jc w:val="both"/>
        <w:spacing w:line="24" w:lineRule="atLeast"/>
        <w:tabs>
          <w:tab w:val="left" w:pos="993" w:leader="none"/>
        </w:tabs>
        <w:rPr>
          <w:color w:val="000000"/>
        </w:rPr>
      </w:pPr>
      <w:r>
        <w:rPr>
          <w:b/>
          <w:bCs/>
          <w:color w:val="000000"/>
        </w:rPr>
        <w:t xml:space="preserve">Порядок заключения договора купли-продажи, порядок расчетов: </w:t>
      </w:r>
      <w:r>
        <w:rPr>
          <w:color w:val="000000"/>
        </w:rPr>
      </w:r>
      <w:r>
        <w:rPr>
          <w:color w:val="000000"/>
        </w:rPr>
      </w:r>
    </w:p>
    <w:p>
      <w:pPr>
        <w:ind w:firstLine="709"/>
        <w:jc w:val="both"/>
        <w:shd w:val="clear" w:color="auto" w:fill="ffffff"/>
      </w:pPr>
      <w:r>
        <w:t xml:space="preserve">1. Договор купли-продажи Имущества заключается Продавцом с Победителем </w:t>
      </w:r>
      <w:r>
        <w:rPr>
          <w:lang w:eastAsia="en-US"/>
        </w:rPr>
        <w:t xml:space="preserve">публичного предложения</w:t>
      </w:r>
      <w:r>
        <w:t xml:space="preserve"> в установленном законодательством порядке, в течение 15 (пятнадцати) дней с даты оформления протокола подведения итогов </w:t>
      </w:r>
      <w:r>
        <w:rPr>
          <w:lang w:eastAsia="en-US"/>
        </w:rPr>
        <w:t xml:space="preserve">публичного предложения</w:t>
      </w:r>
      <w:r>
        <w:t xml:space="preserve">.</w:t>
      </w:r>
      <w:r/>
    </w:p>
    <w:p>
      <w:pPr>
        <w:ind w:firstLine="709"/>
        <w:jc w:val="both"/>
        <w:rPr>
          <w:color w:val="000000"/>
        </w:rPr>
      </w:pPr>
      <w:r>
        <w:rPr>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Pr>
          <w:lang w:eastAsia="en-US"/>
        </w:rPr>
        <w:t xml:space="preserve">публичного предложения</w:t>
      </w:r>
      <w:r>
        <w:rPr>
          <w:color w:val="000000"/>
        </w:rPr>
        <w:t xml:space="preserve"> Продавцом аннулируются.</w:t>
      </w:r>
      <w:r>
        <w:rPr>
          <w:color w:val="000000"/>
        </w:rPr>
      </w:r>
      <w:r>
        <w:rPr>
          <w:color w:val="000000"/>
        </w:rPr>
      </w:r>
    </w:p>
    <w:p>
      <w:pPr>
        <w:ind w:firstLine="709"/>
        <w:jc w:val="both"/>
        <w:tabs>
          <w:tab w:val="left" w:pos="993" w:leader="none"/>
        </w:tabs>
        <w:rPr>
          <w:color w:val="000000"/>
          <w:lang w:eastAsia="en-US"/>
        </w:rPr>
      </w:pPr>
      <w:r>
        <w:rPr>
          <w:color w:val="000000"/>
          <w:lang w:eastAsia="en-US"/>
        </w:rPr>
        <w:t xml:space="preserve">При уклонении (отказе) Победителя от исполнения условий договора купли-продажи, либо нарушения сроков оплаты по догово</w:t>
      </w:r>
      <w:r>
        <w:rPr>
          <w:color w:val="000000"/>
          <w:lang w:eastAsia="en-US"/>
        </w:rPr>
        <w:t xml:space="preserve">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r>
        <w:rPr>
          <w:color w:val="000000"/>
          <w:lang w:eastAsia="en-US"/>
        </w:rPr>
      </w:r>
      <w:r>
        <w:rPr>
          <w:color w:val="000000"/>
          <w:lang w:eastAsia="en-US"/>
        </w:rPr>
      </w:r>
    </w:p>
    <w:p>
      <w:pPr>
        <w:ind w:firstLine="709"/>
        <w:jc w:val="both"/>
        <w:rPr>
          <w:color w:val="000000"/>
        </w:rPr>
      </w:pPr>
      <w:r>
        <w:rPr>
          <w:color w:val="000000"/>
        </w:rPr>
        <w:t xml:space="preserve">В таком случае Продавец имеет право заключить договор купли-продажи Имущества с участниками публичного пред</w:t>
      </w:r>
      <w:r>
        <w:rPr>
          <w:color w:val="000000"/>
        </w:rPr>
        <w:t xml:space="preserve">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w:t>
      </w:r>
      <w:r>
        <w:rPr>
          <w:color w:val="000000"/>
        </w:rPr>
        <w:t xml:space="preserve">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w:t>
      </w:r>
      <w:r>
        <w:rPr>
          <w:color w:val="000000"/>
        </w:rPr>
        <w:t xml:space="preserve">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r>
        <w:rPr>
          <w:color w:val="000000"/>
        </w:rPr>
      </w:r>
      <w:r>
        <w:rPr>
          <w:color w:val="000000"/>
        </w:rPr>
      </w:r>
    </w:p>
    <w:p>
      <w:pPr>
        <w:ind w:firstLine="709"/>
        <w:jc w:val="both"/>
        <w:rPr>
          <w:color w:val="000000"/>
        </w:rPr>
      </w:pPr>
      <w:r>
        <w:rPr>
          <w:color w:val="000000"/>
        </w:rPr>
        <w:t xml:space="preserve">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w:t>
      </w:r>
      <w:r>
        <w:rPr>
          <w:color w:val="000000"/>
        </w:rPr>
        <w:t xml:space="preserve">ия Имущества может быть осуществлена путем направления Продавцом такому участнику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Pr>
          <w:lang w:eastAsia="en-US"/>
        </w:rPr>
        <w:t xml:space="preserve">публичного предложения</w:t>
      </w:r>
      <w:r>
        <w:rPr>
          <w:color w:val="000000"/>
        </w:rPr>
        <w:t xml:space="preserve"> с ним заключается договор купли-продажи Имущества с учетом требований, указанных в п.1 настоящего раздела.  </w:t>
      </w:r>
      <w:r>
        <w:rPr>
          <w:color w:val="000000"/>
        </w:rPr>
      </w:r>
      <w:r>
        <w:rPr>
          <w:color w:val="000000"/>
        </w:rPr>
      </w:r>
    </w:p>
    <w:p>
      <w:pPr>
        <w:ind w:firstLine="709"/>
        <w:jc w:val="both"/>
      </w:pPr>
      <w:r>
        <w:rPr>
          <w:color w:val="000000"/>
        </w:rPr>
        <w:t xml:space="preserve">4. Оплата Имущества Покупателем осуществляется в соответствии с условиями </w:t>
      </w:r>
      <w:r>
        <w:rPr>
          <w:lang w:eastAsia="en-US"/>
        </w:rPr>
        <w:t xml:space="preserve">публичного предложения</w:t>
      </w:r>
      <w:r>
        <w:rPr>
          <w:color w:val="000000"/>
        </w:rPr>
        <w:t xml:space="preserve"> и в порядке и сроки, установленные договором купли-продажи Имущества.</w:t>
      </w:r>
      <w:r/>
    </w:p>
    <w:p>
      <w:pPr>
        <w:ind w:firstLine="709"/>
        <w:jc w:val="both"/>
      </w:pPr>
      <w:r>
        <w:rPr>
          <w:color w:val="000000"/>
        </w:rPr>
        <w:t xml:space="preserve">5. Участникам </w:t>
      </w:r>
      <w:r>
        <w:rPr>
          <w:lang w:eastAsia="en-US"/>
        </w:rPr>
        <w:t xml:space="preserve">публичного предложения</w:t>
      </w:r>
      <w:r>
        <w:rPr>
          <w:color w:val="000000"/>
        </w:rPr>
        <w:t xml:space="preserve">, не ставшим победителями (за исключением случая заключения договора купли-продажи Имущества с единственным участником </w:t>
      </w:r>
      <w:r>
        <w:rPr>
          <w:lang w:eastAsia="en-US"/>
        </w:rPr>
        <w:t xml:space="preserve">публичного предложения</w:t>
      </w:r>
      <w:r>
        <w:rPr>
          <w:color w:val="000000"/>
        </w:rPr>
        <w:t xml:space="preserve"> в соответствии с п.3 настоящего раздела), суммы внесенных ими задатков возвращаются в срок не позднее 5 (пяти) рабочих дней с даты проведения </w:t>
      </w:r>
      <w:r>
        <w:rPr>
          <w:lang w:eastAsia="en-US"/>
        </w:rPr>
        <w:t xml:space="preserve">публичного предложения</w:t>
      </w:r>
      <w:r>
        <w:rPr>
          <w:color w:val="000000"/>
        </w:rPr>
        <w:t xml:space="preserve"> в соответствии с регламентом ЭТП ГПБ.</w:t>
      </w:r>
      <w:r/>
    </w:p>
    <w:p>
      <w:pPr>
        <w:ind w:firstLine="709"/>
        <w:jc w:val="both"/>
        <w:rPr>
          <w:color w:val="000000"/>
        </w:rPr>
      </w:pPr>
      <w:r>
        <w:rPr>
          <w:color w:val="000000"/>
        </w:rPr>
        <w:t xml:space="preserve">6. Переход права собственности на реализованное Имущество осуществляется в соответствии с договором купли-продажи Имущества.</w:t>
      </w:r>
      <w:r>
        <w:rPr>
          <w:rFonts w:ascii="PT Astra Serif" w:hAnsi="PT Astra Serif"/>
          <w:color w:val="auto"/>
          <w:sz w:val="24"/>
        </w:rPr>
      </w:r>
      <w:bookmarkEnd w:id="1"/>
      <w:r>
        <w:rPr>
          <w:color w:val="000000"/>
        </w:rPr>
      </w:r>
      <w:r>
        <w:rPr>
          <w:color w:val="000000"/>
        </w:rPr>
      </w:r>
    </w:p>
    <w:sectPr>
      <w:headerReference w:type="default" r:id="rId9"/>
      <w:headerReference w:type="even" r:id="rId10"/>
      <w:footnotePr/>
      <w:endnotePr/>
      <w:type w:val="nextPage"/>
      <w:pgSz w:w="11906" w:h="16838" w:orient="portrait"/>
      <w:pgMar w:top="426" w:right="707" w:bottom="568"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ourier New">
    <w:panose1 w:val="02070309020205020404"/>
  </w:font>
  <w:font w:name="Consolas">
    <w:panose1 w:val="020B0606020202030204"/>
  </w:font>
  <w:font w:name="Calibri">
    <w:panose1 w:val="020F0502020204030204"/>
  </w:font>
  <w:font w:name="Tahoma">
    <w:panose1 w:val="020B0604030504040204"/>
  </w:font>
  <w:font w:name="NewsGothic_A.Z_PS">
    <w:panose1 w:val="02000603000000000000"/>
  </w:font>
  <w:font w:name="Times New Roman">
    <w:panose1 w:val="02020603050405020304"/>
  </w:font>
  <w:font w:name="PT Astra Serif">
    <w:panose1 w:val="020A0603040505020204"/>
  </w:font>
  <w:font w:name="Arial Unicode MS">
    <w:panose1 w:val="020B0604020202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44"/>
      <w:ind w:right="360"/>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44"/>
      <w:rPr>
        <w:rStyle w:val="946"/>
      </w:rPr>
      <w:framePr w:wrap="around" w:vAnchor="text" w:hAnchor="margin" w:xAlign="right" w:y="1"/>
    </w:pPr>
    <w:r>
      <w:rPr>
        <w:rStyle w:val="946"/>
      </w:rPr>
      <w:fldChar w:fldCharType="begin"/>
    </w:r>
    <w:r>
      <w:rPr>
        <w:rStyle w:val="946"/>
      </w:rPr>
      <w:instrText xml:space="preserve">PAGE  </w:instrText>
    </w:r>
    <w:r>
      <w:rPr>
        <w:rStyle w:val="946"/>
      </w:rPr>
      <w:fldChar w:fldCharType="end"/>
    </w:r>
    <w:r>
      <w:rPr>
        <w:rStyle w:val="946"/>
      </w:rPr>
    </w:r>
    <w:r>
      <w:rPr>
        <w:rStyle w:val="946"/>
      </w:rPr>
    </w:r>
  </w:p>
  <w:p>
    <w:pPr>
      <w:pStyle w:val="944"/>
      <w:ind w:right="36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cs="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cs="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cs="Courier New"/>
      </w:rPr>
    </w:lvl>
    <w:lvl w:ilvl="8">
      <w:start w:val="1"/>
      <w:numFmt w:val="bullet"/>
      <w:isLgl w:val="false"/>
      <w:suff w:val="tab"/>
      <w:lvlText w:val=""/>
      <w:lvlJc w:val="left"/>
      <w:pPr>
        <w:ind w:left="6840" w:hanging="360"/>
      </w:pPr>
      <w:rPr>
        <w:rFonts w:hint="default" w:ascii="Wingdings" w:hAnsi="Wingdings"/>
      </w:rPr>
    </w:lvl>
  </w:abstractNum>
  <w:abstractNum w:abstractNumId="1">
    <w:multiLevelType w:val="hybridMultilevel"/>
    <w:lvl w:ilvl="0">
      <w:start w:val="3"/>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decimal"/>
      <w:isLgl w:val="false"/>
      <w:suff w:val="tab"/>
      <w:lvlText w:val="%2."/>
      <w:lvlJc w:val="left"/>
      <w:pPr>
        <w:ind w:left="1440" w:hanging="360"/>
        <w:tabs>
          <w:tab w:val="num" w:pos="1440" w:leader="none"/>
        </w:tabs>
      </w:pPr>
      <w:rPr>
        <w:rFonts w:cs="Times New Roman"/>
      </w:rPr>
    </w:lvl>
    <w:lvl w:ilvl="2">
      <w:start w:val="1"/>
      <w:numFmt w:val="decimal"/>
      <w:isLgl w:val="false"/>
      <w:suff w:val="tab"/>
      <w:lvlText w:val="%3."/>
      <w:lvlJc w:val="left"/>
      <w:pPr>
        <w:ind w:left="2160" w:hanging="36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decimal"/>
      <w:isLgl w:val="false"/>
      <w:suff w:val="tab"/>
      <w:lvlText w:val="%5."/>
      <w:lvlJc w:val="left"/>
      <w:pPr>
        <w:ind w:left="3600" w:hanging="360"/>
        <w:tabs>
          <w:tab w:val="num" w:pos="3600" w:leader="none"/>
        </w:tabs>
      </w:pPr>
      <w:rPr>
        <w:rFonts w:cs="Times New Roman"/>
      </w:rPr>
    </w:lvl>
    <w:lvl w:ilvl="5">
      <w:start w:val="1"/>
      <w:numFmt w:val="decimal"/>
      <w:isLgl w:val="false"/>
      <w:suff w:val="tab"/>
      <w:lvlText w:val="%6."/>
      <w:lvlJc w:val="left"/>
      <w:pPr>
        <w:ind w:left="4320" w:hanging="36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decimal"/>
      <w:isLgl w:val="false"/>
      <w:suff w:val="tab"/>
      <w:lvlText w:val="%8."/>
      <w:lvlJc w:val="left"/>
      <w:pPr>
        <w:ind w:left="5760" w:hanging="360"/>
        <w:tabs>
          <w:tab w:val="num" w:pos="5760" w:leader="none"/>
        </w:tabs>
      </w:pPr>
      <w:rPr>
        <w:rFonts w:cs="Times New Roman"/>
      </w:rPr>
    </w:lvl>
    <w:lvl w:ilvl="8">
      <w:start w:val="1"/>
      <w:numFmt w:val="decimal"/>
      <w:isLgl w:val="false"/>
      <w:suff w:val="tab"/>
      <w:lvlText w:val="%9."/>
      <w:lvlJc w:val="left"/>
      <w:pPr>
        <w:ind w:left="6480" w:hanging="360"/>
        <w:tabs>
          <w:tab w:val="num" w:pos="6480" w:leader="none"/>
        </w:tabs>
      </w:pPr>
      <w:rPr>
        <w:rFonts w:cs="Times New Roman"/>
      </w:r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2"/>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decimal"/>
      <w:isLgl w:val="false"/>
      <w:suff w:val="tab"/>
      <w:lvlText w:val="%2."/>
      <w:lvlJc w:val="left"/>
      <w:pPr>
        <w:ind w:left="1440" w:hanging="360"/>
        <w:tabs>
          <w:tab w:val="num" w:pos="1440" w:leader="none"/>
        </w:tabs>
      </w:pPr>
      <w:rPr>
        <w:rFonts w:cs="Times New Roman"/>
      </w:rPr>
    </w:lvl>
    <w:lvl w:ilvl="2">
      <w:start w:val="1"/>
      <w:numFmt w:val="decimal"/>
      <w:isLgl w:val="false"/>
      <w:suff w:val="tab"/>
      <w:lvlText w:val="%3."/>
      <w:lvlJc w:val="left"/>
      <w:pPr>
        <w:ind w:left="2160" w:hanging="36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decimal"/>
      <w:isLgl w:val="false"/>
      <w:suff w:val="tab"/>
      <w:lvlText w:val="%5."/>
      <w:lvlJc w:val="left"/>
      <w:pPr>
        <w:ind w:left="3600" w:hanging="360"/>
        <w:tabs>
          <w:tab w:val="num" w:pos="3600" w:leader="none"/>
        </w:tabs>
      </w:pPr>
      <w:rPr>
        <w:rFonts w:cs="Times New Roman"/>
      </w:rPr>
    </w:lvl>
    <w:lvl w:ilvl="5">
      <w:start w:val="1"/>
      <w:numFmt w:val="decimal"/>
      <w:isLgl w:val="false"/>
      <w:suff w:val="tab"/>
      <w:lvlText w:val="%6."/>
      <w:lvlJc w:val="left"/>
      <w:pPr>
        <w:ind w:left="4320" w:hanging="36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decimal"/>
      <w:isLgl w:val="false"/>
      <w:suff w:val="tab"/>
      <w:lvlText w:val="%8."/>
      <w:lvlJc w:val="left"/>
      <w:pPr>
        <w:ind w:left="5760" w:hanging="360"/>
        <w:tabs>
          <w:tab w:val="num" w:pos="5760" w:leader="none"/>
        </w:tabs>
      </w:pPr>
      <w:rPr>
        <w:rFonts w:cs="Times New Roman"/>
      </w:rPr>
    </w:lvl>
    <w:lvl w:ilvl="8">
      <w:start w:val="1"/>
      <w:numFmt w:val="decimal"/>
      <w:isLgl w:val="false"/>
      <w:suff w:val="tab"/>
      <w:lvlText w:val="%9."/>
      <w:lvlJc w:val="left"/>
      <w:pPr>
        <w:ind w:left="6480" w:hanging="360"/>
        <w:tabs>
          <w:tab w:val="num" w:pos="6480" w:leader="none"/>
        </w:tabs>
      </w:pPr>
      <w:rPr>
        <w:rFonts w:cs="Times New Roman"/>
      </w:rPr>
    </w:lvl>
  </w:abstractNum>
  <w:abstractNum w:abstractNumId="6">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7">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isLgl w:val="false"/>
      <w:suff w:val="tab"/>
      <w:lvlText w:val="%1."/>
      <w:lvlJc w:val="left"/>
      <w:pPr>
        <w:ind w:left="786" w:hanging="360"/>
      </w:pPr>
      <w:rPr>
        <w:rFonts w:hint="default" w:ascii="Times New Roman" w:hAnsi="Times New Roman" w:eastAsia="Arial Unicode MS" w:cs="Times New Roman"/>
      </w:rPr>
    </w:lvl>
    <w:lvl w:ilvl="1">
      <w:start w:val="1"/>
      <w:numFmt w:val="lowerLetter"/>
      <w:isLgl w:val="false"/>
      <w:suff w:val="tab"/>
      <w:lvlText w:val="%2."/>
      <w:lvlJc w:val="left"/>
      <w:pPr>
        <w:ind w:left="1506" w:hanging="360"/>
      </w:pPr>
    </w:lvl>
    <w:lvl w:ilvl="2">
      <w:start w:val="1"/>
      <w:numFmt w:val="lowerRoman"/>
      <w:isLgl w:val="false"/>
      <w:suff w:val="tab"/>
      <w:lvlText w:val="%3."/>
      <w:lvlJc w:val="right"/>
      <w:pPr>
        <w:ind w:left="2226" w:hanging="180"/>
      </w:pPr>
    </w:lvl>
    <w:lvl w:ilvl="3">
      <w:start w:val="1"/>
      <w:numFmt w:val="decimal"/>
      <w:isLgl w:val="false"/>
      <w:suff w:val="tab"/>
      <w:lvlText w:val="%4."/>
      <w:lvlJc w:val="left"/>
      <w:pPr>
        <w:ind w:left="2946" w:hanging="360"/>
      </w:pPr>
    </w:lvl>
    <w:lvl w:ilvl="4">
      <w:start w:val="1"/>
      <w:numFmt w:val="lowerLetter"/>
      <w:isLgl w:val="false"/>
      <w:suff w:val="tab"/>
      <w:lvlText w:val="%5."/>
      <w:lvlJc w:val="left"/>
      <w:pPr>
        <w:ind w:left="3666" w:hanging="360"/>
      </w:pPr>
    </w:lvl>
    <w:lvl w:ilvl="5">
      <w:start w:val="1"/>
      <w:numFmt w:val="lowerRoman"/>
      <w:isLgl w:val="false"/>
      <w:suff w:val="tab"/>
      <w:lvlText w:val="%6."/>
      <w:lvlJc w:val="right"/>
      <w:pPr>
        <w:ind w:left="4386" w:hanging="180"/>
      </w:pPr>
    </w:lvl>
    <w:lvl w:ilvl="6">
      <w:start w:val="1"/>
      <w:numFmt w:val="decimal"/>
      <w:isLgl w:val="false"/>
      <w:suff w:val="tab"/>
      <w:lvlText w:val="%7."/>
      <w:lvlJc w:val="left"/>
      <w:pPr>
        <w:ind w:left="5106" w:hanging="360"/>
      </w:pPr>
    </w:lvl>
    <w:lvl w:ilvl="7">
      <w:start w:val="1"/>
      <w:numFmt w:val="lowerLetter"/>
      <w:isLgl w:val="false"/>
      <w:suff w:val="tab"/>
      <w:lvlText w:val="%8."/>
      <w:lvlJc w:val="left"/>
      <w:pPr>
        <w:ind w:left="5826" w:hanging="360"/>
      </w:pPr>
    </w:lvl>
    <w:lvl w:ilvl="8">
      <w:start w:val="1"/>
      <w:numFmt w:val="lowerRoman"/>
      <w:isLgl w:val="false"/>
      <w:suff w:val="tab"/>
      <w:lvlText w:val="%9."/>
      <w:lvlJc w:val="right"/>
      <w:pPr>
        <w:ind w:left="6546" w:hanging="180"/>
      </w:pPr>
    </w:lvl>
  </w:abstractNum>
  <w:abstractNum w:abstractNumId="9">
    <w:multiLevelType w:val="hybridMultilevel"/>
    <w:lvl w:ilvl="0">
      <w:start w:val="3"/>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2073" w:hanging="360"/>
      </w:pPr>
      <w:rPr>
        <w:rFonts w:hint="default"/>
      </w:r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11">
    <w:multiLevelType w:val="hybridMultilevel"/>
    <w:lvl w:ilvl="0">
      <w:start w:val="1"/>
      <w:numFmt w:val="bullet"/>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800" w:hanging="360"/>
      </w:pPr>
      <w:rPr>
        <w:rFonts w:hint="default" w:ascii="Courier New" w:hAnsi="Courier New"/>
      </w:rPr>
    </w:lvl>
    <w:lvl w:ilvl="2">
      <w:start w:val="1"/>
      <w:numFmt w:val="bullet"/>
      <w:isLgl w:val="false"/>
      <w:suff w:val="tab"/>
      <w:lvlText w:val=""/>
      <w:lvlJc w:val="left"/>
      <w:pPr>
        <w:ind w:left="2520" w:hanging="360"/>
      </w:pPr>
      <w:rPr>
        <w:rFonts w:hint="default" w:ascii="Wingdings" w:hAnsi="Wingdings"/>
      </w:rPr>
    </w:lvl>
    <w:lvl w:ilvl="3">
      <w:start w:val="1"/>
      <w:numFmt w:val="bullet"/>
      <w:isLgl w:val="false"/>
      <w:suff w:val="tab"/>
      <w:lvlText w:val=""/>
      <w:lvlJc w:val="left"/>
      <w:pPr>
        <w:ind w:left="3240" w:hanging="360"/>
      </w:pPr>
      <w:rPr>
        <w:rFonts w:hint="default" w:ascii="Symbol" w:hAnsi="Symbol"/>
      </w:rPr>
    </w:lvl>
    <w:lvl w:ilvl="4">
      <w:start w:val="1"/>
      <w:numFmt w:val="bullet"/>
      <w:isLgl w:val="false"/>
      <w:suff w:val="tab"/>
      <w:lvlText w:val="o"/>
      <w:lvlJc w:val="left"/>
      <w:pPr>
        <w:ind w:left="3960" w:hanging="360"/>
      </w:pPr>
      <w:rPr>
        <w:rFonts w:hint="default" w:ascii="Courier New" w:hAnsi="Courier New"/>
      </w:rPr>
    </w:lvl>
    <w:lvl w:ilvl="5">
      <w:start w:val="1"/>
      <w:numFmt w:val="bullet"/>
      <w:isLgl w:val="false"/>
      <w:suff w:val="tab"/>
      <w:lvlText w:val=""/>
      <w:lvlJc w:val="left"/>
      <w:pPr>
        <w:ind w:left="4680" w:hanging="360"/>
      </w:pPr>
      <w:rPr>
        <w:rFonts w:hint="default" w:ascii="Wingdings" w:hAnsi="Wingdings"/>
      </w:rPr>
    </w:lvl>
    <w:lvl w:ilvl="6">
      <w:start w:val="1"/>
      <w:numFmt w:val="bullet"/>
      <w:isLgl w:val="false"/>
      <w:suff w:val="tab"/>
      <w:lvlText w:val=""/>
      <w:lvlJc w:val="left"/>
      <w:pPr>
        <w:ind w:left="5400" w:hanging="360"/>
      </w:pPr>
      <w:rPr>
        <w:rFonts w:hint="default" w:ascii="Symbol" w:hAnsi="Symbol"/>
      </w:rPr>
    </w:lvl>
    <w:lvl w:ilvl="7">
      <w:start w:val="1"/>
      <w:numFmt w:val="bullet"/>
      <w:isLgl w:val="false"/>
      <w:suff w:val="tab"/>
      <w:lvlText w:val="o"/>
      <w:lvlJc w:val="left"/>
      <w:pPr>
        <w:ind w:left="6120" w:hanging="360"/>
      </w:pPr>
      <w:rPr>
        <w:rFonts w:hint="default" w:ascii="Courier New" w:hAnsi="Courier New"/>
      </w:rPr>
    </w:lvl>
    <w:lvl w:ilvl="8">
      <w:start w:val="1"/>
      <w:numFmt w:val="bullet"/>
      <w:isLgl w:val="false"/>
      <w:suff w:val="tab"/>
      <w:lvlText w:val=""/>
      <w:lvlJc w:val="left"/>
      <w:pPr>
        <w:ind w:left="6840" w:hanging="360"/>
      </w:pPr>
      <w:rPr>
        <w:rFonts w:hint="default" w:ascii="Wingdings" w:hAnsi="Wingdings"/>
      </w:rPr>
    </w:lvl>
  </w:abstractNum>
  <w:abstractNum w:abstractNumId="1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5">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644" w:hanging="360"/>
      </w:pPr>
      <w:rPr>
        <w:rFonts w:hint="default"/>
      </w:rPr>
    </w:lvl>
    <w:lvl w:ilvl="1">
      <w:start w:val="1"/>
      <w:numFmt w:val="lowerLetter"/>
      <w:isLgl w:val="false"/>
      <w:suff w:val="tab"/>
      <w:lvlText w:val="%2."/>
      <w:lvlJc w:val="left"/>
      <w:pPr>
        <w:ind w:left="1364" w:hanging="360"/>
      </w:pPr>
    </w:lvl>
    <w:lvl w:ilvl="2">
      <w:start w:val="1"/>
      <w:numFmt w:val="lowerRoman"/>
      <w:isLgl w:val="false"/>
      <w:suff w:val="tab"/>
      <w:lvlText w:val="%3."/>
      <w:lvlJc w:val="right"/>
      <w:pPr>
        <w:ind w:left="2084" w:hanging="180"/>
      </w:pPr>
    </w:lvl>
    <w:lvl w:ilvl="3">
      <w:start w:val="1"/>
      <w:numFmt w:val="decimal"/>
      <w:isLgl w:val="false"/>
      <w:suff w:val="tab"/>
      <w:lvlText w:val="%4."/>
      <w:lvlJc w:val="left"/>
      <w:pPr>
        <w:ind w:left="2804" w:hanging="360"/>
      </w:pPr>
    </w:lvl>
    <w:lvl w:ilvl="4">
      <w:start w:val="1"/>
      <w:numFmt w:val="lowerLetter"/>
      <w:isLgl w:val="false"/>
      <w:suff w:val="tab"/>
      <w:lvlText w:val="%5."/>
      <w:lvlJc w:val="left"/>
      <w:pPr>
        <w:ind w:left="3524" w:hanging="360"/>
      </w:pPr>
    </w:lvl>
    <w:lvl w:ilvl="5">
      <w:start w:val="1"/>
      <w:numFmt w:val="lowerRoman"/>
      <w:isLgl w:val="false"/>
      <w:suff w:val="tab"/>
      <w:lvlText w:val="%6."/>
      <w:lvlJc w:val="right"/>
      <w:pPr>
        <w:ind w:left="4244" w:hanging="180"/>
      </w:pPr>
    </w:lvl>
    <w:lvl w:ilvl="6">
      <w:start w:val="1"/>
      <w:numFmt w:val="decimal"/>
      <w:isLgl w:val="false"/>
      <w:suff w:val="tab"/>
      <w:lvlText w:val="%7."/>
      <w:lvlJc w:val="left"/>
      <w:pPr>
        <w:ind w:left="4964" w:hanging="360"/>
      </w:pPr>
    </w:lvl>
    <w:lvl w:ilvl="7">
      <w:start w:val="1"/>
      <w:numFmt w:val="lowerLetter"/>
      <w:isLgl w:val="false"/>
      <w:suff w:val="tab"/>
      <w:lvlText w:val="%8."/>
      <w:lvlJc w:val="left"/>
      <w:pPr>
        <w:ind w:left="5684" w:hanging="360"/>
      </w:pPr>
    </w:lvl>
    <w:lvl w:ilvl="8">
      <w:start w:val="1"/>
      <w:numFmt w:val="lowerRoman"/>
      <w:isLgl w:val="false"/>
      <w:suff w:val="tab"/>
      <w:lvlText w:val="%9."/>
      <w:lvlJc w:val="right"/>
      <w:pPr>
        <w:ind w:left="6404" w:hanging="180"/>
      </w:pPr>
    </w:lvl>
  </w:abstractNum>
  <w:abstractNum w:abstractNumId="19">
    <w:multiLevelType w:val="hybridMultilevel"/>
    <w:lvl w:ilvl="0">
      <w:start w:val="1"/>
      <w:numFmt w:val="russianLower"/>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numStyleLink w:val="974"/>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1">
    <w:multiLevelType w:val="hybridMultilevel"/>
    <w:styleLink w:val="974"/>
    <w:lvl w:ilvl="0">
      <w:start w:val="1"/>
      <w:numFmt w:val="decimal"/>
      <w:pStyle w:val="974"/>
      <w:isLgl w:val="false"/>
      <w:suff w:val="tab"/>
      <w:lvlText w:val="%1."/>
      <w:lvlJc w:val="left"/>
      <w:pPr>
        <w:ind w:left="708" w:hanging="708"/>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1">
      <w:start w:val="1"/>
      <w:numFmt w:val="lowerLetter"/>
      <w:isLgl w:val="false"/>
      <w:suff w:val="tab"/>
      <w:lvlText w:val="%2."/>
      <w:lvlJc w:val="left"/>
      <w:pPr>
        <w:ind w:left="720" w:hanging="696"/>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2">
      <w:start w:val="1"/>
      <w:numFmt w:val="lowerRoman"/>
      <w:isLgl w:val="false"/>
      <w:suff w:val="tab"/>
      <w:lvlText w:val="%3."/>
      <w:lvlJc w:val="left"/>
      <w:pPr>
        <w:ind w:left="1440" w:hanging="624"/>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3">
      <w:start w:val="1"/>
      <w:numFmt w:val="decimal"/>
      <w:isLgl w:val="false"/>
      <w:suff w:val="tab"/>
      <w:lvlText w:val="%4."/>
      <w:lvlJc w:val="left"/>
      <w:pPr>
        <w:ind w:left="2160" w:hanging="67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4">
      <w:start w:val="1"/>
      <w:numFmt w:val="lowerLetter"/>
      <w:isLgl w:val="false"/>
      <w:suff w:val="tab"/>
      <w:lvlText w:val="%5."/>
      <w:lvlJc w:val="left"/>
      <w:pPr>
        <w:ind w:left="2880" w:hanging="660"/>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5">
      <w:start w:val="1"/>
      <w:numFmt w:val="lowerRoman"/>
      <w:isLgl w:val="false"/>
      <w:suff w:val="tab"/>
      <w:lvlText w:val="%6."/>
      <w:lvlJc w:val="left"/>
      <w:pPr>
        <w:ind w:left="3600" w:hanging="588"/>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6">
      <w:start w:val="1"/>
      <w:numFmt w:val="decimal"/>
      <w:isLgl w:val="false"/>
      <w:suff w:val="tab"/>
      <w:lvlText w:val="%7."/>
      <w:lvlJc w:val="left"/>
      <w:pPr>
        <w:ind w:left="4320" w:hanging="636"/>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7">
      <w:start w:val="1"/>
      <w:numFmt w:val="lowerLetter"/>
      <w:isLgl w:val="false"/>
      <w:suff w:val="tab"/>
      <w:lvlText w:val="%8."/>
      <w:lvlJc w:val="left"/>
      <w:pPr>
        <w:ind w:left="5040" w:hanging="624"/>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lvl w:ilvl="8">
      <w:start w:val="1"/>
      <w:numFmt w:val="lowerRoman"/>
      <w:isLgl w:val="false"/>
      <w:suff w:val="tab"/>
      <w:lvlText w:val="%9."/>
      <w:lvlJc w:val="left"/>
      <w:pPr>
        <w:ind w:left="5760" w:hanging="552"/>
      </w:pPr>
      <w:rPr>
        <w:rFonts w:hAnsi="Arial Unicode MS"/>
        <w:caps w:val="0"/>
        <w:smallCaps w:val="0"/>
        <w:strike w:val="0"/>
        <w:color w:val="000000"/>
        <w:spacing w:val="0"/>
        <w:position w:val="0"/>
        <w:highlight w:val="none"/>
        <w:vertAlign w:val="baseline"/>
        <w14:textOutline w14:w="0" w14:cap="rnd" w14:cmpd="sng" w14:algn="ctr">
          <w14:noFill/>
          <w14:prstDash w14:val="solid"/>
          <w14:bevel/>
        </w14:textOutline>
      </w:rPr>
    </w:lvl>
  </w:abstractNum>
  <w:abstractNum w:abstractNumId="2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bullet"/>
      <w:isLgl w:val="false"/>
      <w:suff w:val="tab"/>
      <w:lvlText w:val=""/>
      <w:lvlJc w:val="left"/>
      <w:pPr>
        <w:ind w:left="720" w:hanging="360"/>
        <w:tabs>
          <w:tab w:val="num" w:pos="720" w:leader="none"/>
        </w:tabs>
      </w:pPr>
      <w:rPr>
        <w:rFonts w:hint="default" w:ascii="Symbol" w:hAnsi="Symbol"/>
        <w:sz w:val="20"/>
      </w:rPr>
    </w:lvl>
    <w:lvl w:ilvl="1">
      <w:start w:val="1"/>
      <w:numFmt w:val="decimal"/>
      <w:isLgl w:val="false"/>
      <w:suff w:val="tab"/>
      <w:lvlText w:val="%2."/>
      <w:lvlJc w:val="left"/>
      <w:pPr>
        <w:ind w:left="1440" w:hanging="360"/>
        <w:tabs>
          <w:tab w:val="num" w:pos="1440" w:leader="none"/>
        </w:tabs>
      </w:pPr>
      <w:rPr>
        <w:rFonts w:cs="Times New Roman"/>
      </w:rPr>
    </w:lvl>
    <w:lvl w:ilvl="2">
      <w:start w:val="1"/>
      <w:numFmt w:val="decimal"/>
      <w:isLgl w:val="false"/>
      <w:suff w:val="tab"/>
      <w:lvlText w:val="%3."/>
      <w:lvlJc w:val="left"/>
      <w:pPr>
        <w:ind w:left="2160" w:hanging="36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decimal"/>
      <w:isLgl w:val="false"/>
      <w:suff w:val="tab"/>
      <w:lvlText w:val="%5."/>
      <w:lvlJc w:val="left"/>
      <w:pPr>
        <w:ind w:left="3600" w:hanging="360"/>
        <w:tabs>
          <w:tab w:val="num" w:pos="3600" w:leader="none"/>
        </w:tabs>
      </w:pPr>
      <w:rPr>
        <w:rFonts w:cs="Times New Roman"/>
      </w:rPr>
    </w:lvl>
    <w:lvl w:ilvl="5">
      <w:start w:val="1"/>
      <w:numFmt w:val="decimal"/>
      <w:isLgl w:val="false"/>
      <w:suff w:val="tab"/>
      <w:lvlText w:val="%6."/>
      <w:lvlJc w:val="left"/>
      <w:pPr>
        <w:ind w:left="4320" w:hanging="36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decimal"/>
      <w:isLgl w:val="false"/>
      <w:suff w:val="tab"/>
      <w:lvlText w:val="%8."/>
      <w:lvlJc w:val="left"/>
      <w:pPr>
        <w:ind w:left="5760" w:hanging="360"/>
        <w:tabs>
          <w:tab w:val="num" w:pos="5760" w:leader="none"/>
        </w:tabs>
      </w:pPr>
      <w:rPr>
        <w:rFonts w:cs="Times New Roman"/>
      </w:rPr>
    </w:lvl>
    <w:lvl w:ilvl="8">
      <w:start w:val="1"/>
      <w:numFmt w:val="decimal"/>
      <w:isLgl w:val="false"/>
      <w:suff w:val="tab"/>
      <w:lvlText w:val="%9."/>
      <w:lvlJc w:val="left"/>
      <w:pPr>
        <w:ind w:left="6480" w:hanging="360"/>
        <w:tabs>
          <w:tab w:val="num" w:pos="6480" w:leader="none"/>
        </w:tabs>
      </w:pPr>
      <w:rPr>
        <w:rFonts w:cs="Times New Roman"/>
      </w:rPr>
    </w:lvl>
  </w:abstractNum>
  <w:abstractNum w:abstractNumId="26">
    <w:multiLevelType w:val="hybridMultilevel"/>
    <w:lvl w:ilvl="0">
      <w:start w:val="3"/>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8">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0">
    <w:multiLevelType w:val="hybridMultilevel"/>
    <w:lvl w:ilvl="0">
      <w:start w:val="1"/>
      <w:numFmt w:val="decimal"/>
      <w:isLgl w:val="false"/>
      <w:suff w:val="tab"/>
      <w:lvlText w:val="%1."/>
      <w:lvlJc w:val="left"/>
      <w:pPr>
        <w:ind w:left="360" w:hanging="360"/>
      </w:pPr>
      <w:rPr>
        <w:b/>
        <w:sz w:val="24"/>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1">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288"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32">
    <w:multiLevelType w:val="hybridMultilevel"/>
    <w:lvl w:ilvl="0">
      <w:start w:val="4"/>
      <w:numFmt w:val="decimal"/>
      <w:isLgl w:val="false"/>
      <w:suff w:val="tab"/>
      <w:lvlText w:val="%1."/>
      <w:lvlJc w:val="left"/>
      <w:pPr>
        <w:ind w:left="450" w:hanging="450"/>
      </w:pPr>
      <w:rPr>
        <w:rFonts w:hint="default" w:ascii="Times New Roman" w:hAnsi="Times New Roman" w:cs="Times New Roman"/>
        <w:b/>
        <w:sz w:val="24"/>
      </w:rPr>
    </w:lvl>
    <w:lvl w:ilvl="1">
      <w:start w:val="1"/>
      <w:numFmt w:val="decimal"/>
      <w:isLgl w:val="false"/>
      <w:suff w:val="tab"/>
      <w:lvlText w:val="%2."/>
      <w:lvlJc w:val="left"/>
      <w:pPr>
        <w:ind w:left="1571" w:hanging="720"/>
      </w:pPr>
      <w:rPr>
        <w:rFonts w:ascii="Times New Roman" w:hAnsi="Times New Roman" w:eastAsia="Calibri" w:cs="Times New Roman"/>
        <w:b w:val="0"/>
        <w:sz w:val="24"/>
        <w:szCs w:val="24"/>
      </w:rPr>
    </w:lvl>
    <w:lvl w:ilvl="2">
      <w:start w:val="1"/>
      <w:numFmt w:val="decimal"/>
      <w:isLgl w:val="false"/>
      <w:suff w:val="tab"/>
      <w:lvlText w:val="%1.%2.%3."/>
      <w:lvlJc w:val="left"/>
      <w:pPr>
        <w:ind w:left="1571" w:hanging="720"/>
      </w:pPr>
      <w:rPr>
        <w:rFonts w:hint="default" w:cs="Times New Roman"/>
        <w:b w:val="0"/>
      </w:rPr>
    </w:lvl>
    <w:lvl w:ilvl="3">
      <w:start w:val="1"/>
      <w:numFmt w:val="decimal"/>
      <w:isLgl w:val="false"/>
      <w:suff w:val="tab"/>
      <w:lvlText w:val="%1.%2.%3.%4."/>
      <w:lvlJc w:val="left"/>
      <w:pPr>
        <w:ind w:left="1080" w:hanging="1080"/>
      </w:pPr>
      <w:rPr>
        <w:rFonts w:hint="default" w:cs="Times New Roman"/>
        <w:color w:val="auto"/>
      </w:rPr>
    </w:lvl>
    <w:lvl w:ilvl="4">
      <w:start w:val="1"/>
      <w:numFmt w:val="decimal"/>
      <w:isLgl w:val="false"/>
      <w:suff w:val="tab"/>
      <w:lvlText w:val="%1.%2.%3.%4.%5."/>
      <w:lvlJc w:val="left"/>
      <w:pPr>
        <w:ind w:left="1080" w:hanging="1080"/>
      </w:pPr>
      <w:rPr>
        <w:rFonts w:hint="default" w:cs="Times New Roman"/>
      </w:rPr>
    </w:lvl>
    <w:lvl w:ilvl="5">
      <w:start w:val="1"/>
      <w:numFmt w:val="decimal"/>
      <w:isLgl w:val="false"/>
      <w:suff w:val="tab"/>
      <w:lvlText w:val="%1.%2.%3.%4.%5.%6."/>
      <w:lvlJc w:val="left"/>
      <w:pPr>
        <w:ind w:left="1440" w:hanging="1440"/>
      </w:pPr>
      <w:rPr>
        <w:rFonts w:hint="default" w:cs="Times New Roman"/>
      </w:rPr>
    </w:lvl>
    <w:lvl w:ilvl="6">
      <w:start w:val="1"/>
      <w:numFmt w:val="decimal"/>
      <w:isLgl w:val="false"/>
      <w:suff w:val="tab"/>
      <w:lvlText w:val="%1.%2.%3.%4.%5.%6.%7."/>
      <w:lvlJc w:val="left"/>
      <w:pPr>
        <w:ind w:left="1800" w:hanging="1800"/>
      </w:pPr>
      <w:rPr>
        <w:rFonts w:hint="default" w:cs="Times New Roman"/>
      </w:rPr>
    </w:lvl>
    <w:lvl w:ilvl="7">
      <w:start w:val="1"/>
      <w:numFmt w:val="decimal"/>
      <w:isLgl w:val="false"/>
      <w:suff w:val="tab"/>
      <w:lvlText w:val="%1.%2.%3.%4.%5.%6.%7.%8."/>
      <w:lvlJc w:val="left"/>
      <w:pPr>
        <w:ind w:left="1800" w:hanging="1800"/>
      </w:pPr>
      <w:rPr>
        <w:rFonts w:hint="default" w:cs="Times New Roman"/>
      </w:rPr>
    </w:lvl>
    <w:lvl w:ilvl="8">
      <w:start w:val="1"/>
      <w:numFmt w:val="decimal"/>
      <w:isLgl w:val="false"/>
      <w:suff w:val="tab"/>
      <w:lvlText w:val="%1.%2.%3.%4.%5.%6.%7.%8.%9."/>
      <w:lvlJc w:val="left"/>
      <w:pPr>
        <w:ind w:left="2160" w:hanging="2160"/>
      </w:pPr>
      <w:rPr>
        <w:rFonts w:hint="default" w:cs="Times New Roman"/>
      </w:rPr>
    </w:lvl>
  </w:abstractNum>
  <w:abstractNum w:abstractNumId="33">
    <w:multiLevelType w:val="hybridMultilevel"/>
    <w:lvl w:ilvl="0">
      <w:start w:val="1"/>
      <w:numFmt w:val="decimal"/>
      <w:isLgl w:val="false"/>
      <w:suff w:val="tab"/>
      <w:lvlText w:val="%1."/>
      <w:lvlJc w:val="left"/>
      <w:pPr>
        <w:ind w:left="2073" w:hanging="360"/>
      </w:pPr>
      <w:rPr>
        <w:rFonts w:hint="default"/>
      </w:rPr>
    </w:lvl>
    <w:lvl w:ilvl="1">
      <w:start w:val="1"/>
      <w:numFmt w:val="lowerLetter"/>
      <w:isLgl w:val="false"/>
      <w:suff w:val="tab"/>
      <w:lvlText w:val="%2."/>
      <w:lvlJc w:val="left"/>
      <w:pPr>
        <w:ind w:left="2793" w:hanging="360"/>
      </w:pPr>
    </w:lvl>
    <w:lvl w:ilvl="2">
      <w:start w:val="1"/>
      <w:numFmt w:val="lowerRoman"/>
      <w:isLgl w:val="false"/>
      <w:suff w:val="tab"/>
      <w:lvlText w:val="%3."/>
      <w:lvlJc w:val="right"/>
      <w:pPr>
        <w:ind w:left="3513" w:hanging="180"/>
      </w:pPr>
    </w:lvl>
    <w:lvl w:ilvl="3">
      <w:start w:val="1"/>
      <w:numFmt w:val="decimal"/>
      <w:isLgl w:val="false"/>
      <w:suff w:val="tab"/>
      <w:lvlText w:val="%4."/>
      <w:lvlJc w:val="left"/>
      <w:pPr>
        <w:ind w:left="4233" w:hanging="360"/>
      </w:pPr>
    </w:lvl>
    <w:lvl w:ilvl="4">
      <w:start w:val="1"/>
      <w:numFmt w:val="lowerLetter"/>
      <w:isLgl w:val="false"/>
      <w:suff w:val="tab"/>
      <w:lvlText w:val="%5."/>
      <w:lvlJc w:val="left"/>
      <w:pPr>
        <w:ind w:left="4953" w:hanging="360"/>
      </w:pPr>
    </w:lvl>
    <w:lvl w:ilvl="5">
      <w:start w:val="1"/>
      <w:numFmt w:val="lowerRoman"/>
      <w:isLgl w:val="false"/>
      <w:suff w:val="tab"/>
      <w:lvlText w:val="%6."/>
      <w:lvlJc w:val="right"/>
      <w:pPr>
        <w:ind w:left="5673" w:hanging="180"/>
      </w:pPr>
    </w:lvl>
    <w:lvl w:ilvl="6">
      <w:start w:val="1"/>
      <w:numFmt w:val="decimal"/>
      <w:isLgl w:val="false"/>
      <w:suff w:val="tab"/>
      <w:lvlText w:val="%7."/>
      <w:lvlJc w:val="left"/>
      <w:pPr>
        <w:ind w:left="6393" w:hanging="360"/>
      </w:pPr>
    </w:lvl>
    <w:lvl w:ilvl="7">
      <w:start w:val="1"/>
      <w:numFmt w:val="lowerLetter"/>
      <w:isLgl w:val="false"/>
      <w:suff w:val="tab"/>
      <w:lvlText w:val="%8."/>
      <w:lvlJc w:val="left"/>
      <w:pPr>
        <w:ind w:left="7113" w:hanging="360"/>
      </w:pPr>
    </w:lvl>
    <w:lvl w:ilvl="8">
      <w:start w:val="1"/>
      <w:numFmt w:val="lowerRoman"/>
      <w:isLgl w:val="false"/>
      <w:suff w:val="tab"/>
      <w:lvlText w:val="%9."/>
      <w:lvlJc w:val="right"/>
      <w:pPr>
        <w:ind w:left="7833" w:hanging="180"/>
      </w:pPr>
    </w:lvl>
  </w:abstractNum>
  <w:abstractNum w:abstractNumId="3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num w:numId="1">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8"/>
  </w:num>
  <w:num w:numId="6">
    <w:abstractNumId w:val="22"/>
  </w:num>
  <w:num w:numId="7">
    <w:abstractNumId w:val="7"/>
  </w:num>
  <w:num w:numId="8">
    <w:abstractNumId w:val="12"/>
  </w:num>
  <w:num w:numId="9">
    <w:abstractNumId w:val="17"/>
  </w:num>
  <w:num w:numId="10">
    <w:abstractNumId w:val="8"/>
  </w:num>
  <w:num w:numId="11">
    <w:abstractNumId w:val="23"/>
  </w:num>
  <w:num w:numId="12">
    <w:abstractNumId w:val="13"/>
  </w:num>
  <w:num w:numId="13">
    <w:abstractNumId w:val="3"/>
  </w:num>
  <w:num w:numId="14">
    <w:abstractNumId w:val="24"/>
  </w:num>
  <w:num w:numId="15">
    <w:abstractNumId w:val="11"/>
  </w:num>
  <w:num w:numId="16">
    <w:abstractNumId w:val="21"/>
  </w:num>
  <w:num w:numId="17">
    <w:abstractNumId w:val="20"/>
    <w:lvlOverride w:ilvl="0">
      <w:lvl w:ilvl="0">
        <w:start w:val="1"/>
        <w:numFmt w:val="decimal"/>
        <w:isLgl w:val="false"/>
        <w:suff w:val="tab"/>
        <w:lvlText w:val="%1."/>
        <w:lvlJc w:val="left"/>
        <w:pPr>
          <w:ind w:left="708" w:hanging="708"/>
        </w:pPr>
        <w:rPr>
          <w:rFonts w:hAnsi="Arial Unicode MS"/>
          <w:caps w:val="0"/>
          <w:smallCaps w:val="0"/>
          <w:strike w:val="0"/>
          <w:spacing w:val="0"/>
          <w:position w:val="0"/>
          <w:highlight w:val="none"/>
          <w:vertAlign w:val="baseline"/>
        </w:rPr>
      </w:lvl>
    </w:lvlOverride>
  </w:num>
  <w:num w:numId="18">
    <w:abstractNumId w:val="19"/>
  </w:num>
  <w:num w:numId="19">
    <w:abstractNumId w:val="0"/>
  </w:num>
  <w:num w:numId="20">
    <w:abstractNumId w:val="15"/>
  </w:num>
  <w:num w:numId="21">
    <w:abstractNumId w:val="16"/>
  </w:num>
  <w:num w:numId="22">
    <w:abstractNumId w:val="6"/>
  </w:num>
  <w:num w:numId="23">
    <w:abstractNumId w:val="10"/>
  </w:num>
  <w:num w:numId="24">
    <w:abstractNumId w:val="14"/>
  </w:num>
  <w:num w:numId="25">
    <w:abstractNumId w:val="1"/>
  </w:num>
  <w:num w:numId="26">
    <w:abstractNumId w:val="9"/>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26"/>
  </w:num>
  <w:num w:numId="34">
    <w:abstractNumId w:val="2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edit="readOnly" w:enforcement="0"/>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58">
    <w:name w:val="Heading 1"/>
    <w:basedOn w:val="930"/>
    <w:next w:val="930"/>
    <w:link w:val="759"/>
    <w:uiPriority w:val="9"/>
    <w:qFormat/>
    <w:pPr>
      <w:keepLines/>
      <w:keepNext/>
      <w:spacing w:before="480" w:after="200"/>
      <w:outlineLvl w:val="0"/>
    </w:pPr>
    <w:rPr>
      <w:rFonts w:ascii="Arial" w:hAnsi="Arial" w:eastAsia="Arial" w:cs="Arial"/>
      <w:sz w:val="40"/>
      <w:szCs w:val="40"/>
    </w:rPr>
  </w:style>
  <w:style w:type="character" w:styleId="759">
    <w:name w:val="Heading 1 Char"/>
    <w:basedOn w:val="931"/>
    <w:link w:val="758"/>
    <w:uiPriority w:val="9"/>
    <w:rPr>
      <w:rFonts w:ascii="Arial" w:hAnsi="Arial" w:eastAsia="Arial" w:cs="Arial"/>
      <w:sz w:val="40"/>
      <w:szCs w:val="40"/>
    </w:rPr>
  </w:style>
  <w:style w:type="paragraph" w:styleId="760">
    <w:name w:val="Heading 2"/>
    <w:basedOn w:val="930"/>
    <w:next w:val="930"/>
    <w:link w:val="761"/>
    <w:uiPriority w:val="9"/>
    <w:unhideWhenUsed/>
    <w:qFormat/>
    <w:pPr>
      <w:keepLines/>
      <w:keepNext/>
      <w:spacing w:before="360" w:after="200"/>
      <w:outlineLvl w:val="1"/>
    </w:pPr>
    <w:rPr>
      <w:rFonts w:ascii="Arial" w:hAnsi="Arial" w:eastAsia="Arial" w:cs="Arial"/>
      <w:sz w:val="34"/>
    </w:rPr>
  </w:style>
  <w:style w:type="character" w:styleId="761">
    <w:name w:val="Heading 2 Char"/>
    <w:basedOn w:val="931"/>
    <w:link w:val="760"/>
    <w:uiPriority w:val="9"/>
    <w:rPr>
      <w:rFonts w:ascii="Arial" w:hAnsi="Arial" w:eastAsia="Arial" w:cs="Arial"/>
      <w:sz w:val="34"/>
    </w:rPr>
  </w:style>
  <w:style w:type="paragraph" w:styleId="762">
    <w:name w:val="Heading 3"/>
    <w:basedOn w:val="930"/>
    <w:next w:val="930"/>
    <w:link w:val="763"/>
    <w:uiPriority w:val="9"/>
    <w:unhideWhenUsed/>
    <w:qFormat/>
    <w:pPr>
      <w:keepLines/>
      <w:keepNext/>
      <w:spacing w:before="320" w:after="200"/>
      <w:outlineLvl w:val="2"/>
    </w:pPr>
    <w:rPr>
      <w:rFonts w:ascii="Arial" w:hAnsi="Arial" w:eastAsia="Arial" w:cs="Arial"/>
      <w:sz w:val="30"/>
      <w:szCs w:val="30"/>
    </w:rPr>
  </w:style>
  <w:style w:type="character" w:styleId="763">
    <w:name w:val="Heading 3 Char"/>
    <w:basedOn w:val="931"/>
    <w:link w:val="762"/>
    <w:uiPriority w:val="9"/>
    <w:rPr>
      <w:rFonts w:ascii="Arial" w:hAnsi="Arial" w:eastAsia="Arial" w:cs="Arial"/>
      <w:sz w:val="30"/>
      <w:szCs w:val="30"/>
    </w:rPr>
  </w:style>
  <w:style w:type="paragraph" w:styleId="764">
    <w:name w:val="Heading 4"/>
    <w:basedOn w:val="930"/>
    <w:next w:val="930"/>
    <w:link w:val="765"/>
    <w:uiPriority w:val="9"/>
    <w:unhideWhenUsed/>
    <w:qFormat/>
    <w:pPr>
      <w:keepLines/>
      <w:keepNext/>
      <w:spacing w:before="320" w:after="200"/>
      <w:outlineLvl w:val="3"/>
    </w:pPr>
    <w:rPr>
      <w:rFonts w:ascii="Arial" w:hAnsi="Arial" w:eastAsia="Arial" w:cs="Arial"/>
      <w:b/>
      <w:bCs/>
      <w:sz w:val="26"/>
      <w:szCs w:val="26"/>
    </w:rPr>
  </w:style>
  <w:style w:type="character" w:styleId="765">
    <w:name w:val="Heading 4 Char"/>
    <w:basedOn w:val="931"/>
    <w:link w:val="764"/>
    <w:uiPriority w:val="9"/>
    <w:rPr>
      <w:rFonts w:ascii="Arial" w:hAnsi="Arial" w:eastAsia="Arial" w:cs="Arial"/>
      <w:b/>
      <w:bCs/>
      <w:sz w:val="26"/>
      <w:szCs w:val="26"/>
    </w:rPr>
  </w:style>
  <w:style w:type="paragraph" w:styleId="766">
    <w:name w:val="Heading 5"/>
    <w:basedOn w:val="930"/>
    <w:next w:val="930"/>
    <w:link w:val="767"/>
    <w:uiPriority w:val="9"/>
    <w:unhideWhenUsed/>
    <w:qFormat/>
    <w:pPr>
      <w:keepLines/>
      <w:keepNext/>
      <w:spacing w:before="320" w:after="200"/>
      <w:outlineLvl w:val="4"/>
    </w:pPr>
    <w:rPr>
      <w:rFonts w:ascii="Arial" w:hAnsi="Arial" w:eastAsia="Arial" w:cs="Arial"/>
      <w:b/>
      <w:bCs/>
      <w:sz w:val="24"/>
      <w:szCs w:val="24"/>
    </w:rPr>
  </w:style>
  <w:style w:type="character" w:styleId="767">
    <w:name w:val="Heading 5 Char"/>
    <w:basedOn w:val="931"/>
    <w:link w:val="766"/>
    <w:uiPriority w:val="9"/>
    <w:rPr>
      <w:rFonts w:ascii="Arial" w:hAnsi="Arial" w:eastAsia="Arial" w:cs="Arial"/>
      <w:b/>
      <w:bCs/>
      <w:sz w:val="24"/>
      <w:szCs w:val="24"/>
    </w:rPr>
  </w:style>
  <w:style w:type="paragraph" w:styleId="768">
    <w:name w:val="Heading 6"/>
    <w:basedOn w:val="930"/>
    <w:next w:val="930"/>
    <w:link w:val="769"/>
    <w:uiPriority w:val="9"/>
    <w:unhideWhenUsed/>
    <w:qFormat/>
    <w:pPr>
      <w:keepLines/>
      <w:keepNext/>
      <w:spacing w:before="320" w:after="200"/>
      <w:outlineLvl w:val="5"/>
    </w:pPr>
    <w:rPr>
      <w:rFonts w:ascii="Arial" w:hAnsi="Arial" w:eastAsia="Arial" w:cs="Arial"/>
      <w:b/>
      <w:bCs/>
      <w:sz w:val="22"/>
      <w:szCs w:val="22"/>
    </w:rPr>
  </w:style>
  <w:style w:type="character" w:styleId="769">
    <w:name w:val="Heading 6 Char"/>
    <w:basedOn w:val="931"/>
    <w:link w:val="768"/>
    <w:uiPriority w:val="9"/>
    <w:rPr>
      <w:rFonts w:ascii="Arial" w:hAnsi="Arial" w:eastAsia="Arial" w:cs="Arial"/>
      <w:b/>
      <w:bCs/>
      <w:sz w:val="22"/>
      <w:szCs w:val="22"/>
    </w:rPr>
  </w:style>
  <w:style w:type="paragraph" w:styleId="770">
    <w:name w:val="Heading 7"/>
    <w:basedOn w:val="930"/>
    <w:next w:val="930"/>
    <w:link w:val="771"/>
    <w:uiPriority w:val="9"/>
    <w:unhideWhenUsed/>
    <w:qFormat/>
    <w:pPr>
      <w:keepLines/>
      <w:keepNext/>
      <w:spacing w:before="320" w:after="200"/>
      <w:outlineLvl w:val="6"/>
    </w:pPr>
    <w:rPr>
      <w:rFonts w:ascii="Arial" w:hAnsi="Arial" w:eastAsia="Arial" w:cs="Arial"/>
      <w:b/>
      <w:bCs/>
      <w:i/>
      <w:iCs/>
      <w:sz w:val="22"/>
      <w:szCs w:val="22"/>
    </w:rPr>
  </w:style>
  <w:style w:type="character" w:styleId="771">
    <w:name w:val="Heading 7 Char"/>
    <w:basedOn w:val="931"/>
    <w:link w:val="770"/>
    <w:uiPriority w:val="9"/>
    <w:rPr>
      <w:rFonts w:ascii="Arial" w:hAnsi="Arial" w:eastAsia="Arial" w:cs="Arial"/>
      <w:b/>
      <w:bCs/>
      <w:i/>
      <w:iCs/>
      <w:sz w:val="22"/>
      <w:szCs w:val="22"/>
    </w:rPr>
  </w:style>
  <w:style w:type="paragraph" w:styleId="772">
    <w:name w:val="Heading 8"/>
    <w:basedOn w:val="930"/>
    <w:next w:val="930"/>
    <w:link w:val="773"/>
    <w:uiPriority w:val="9"/>
    <w:unhideWhenUsed/>
    <w:qFormat/>
    <w:pPr>
      <w:keepLines/>
      <w:keepNext/>
      <w:spacing w:before="320" w:after="200"/>
      <w:outlineLvl w:val="7"/>
    </w:pPr>
    <w:rPr>
      <w:rFonts w:ascii="Arial" w:hAnsi="Arial" w:eastAsia="Arial" w:cs="Arial"/>
      <w:i/>
      <w:iCs/>
      <w:sz w:val="22"/>
      <w:szCs w:val="22"/>
    </w:rPr>
  </w:style>
  <w:style w:type="character" w:styleId="773">
    <w:name w:val="Heading 8 Char"/>
    <w:basedOn w:val="931"/>
    <w:link w:val="772"/>
    <w:uiPriority w:val="9"/>
    <w:rPr>
      <w:rFonts w:ascii="Arial" w:hAnsi="Arial" w:eastAsia="Arial" w:cs="Arial"/>
      <w:i/>
      <w:iCs/>
      <w:sz w:val="22"/>
      <w:szCs w:val="22"/>
    </w:rPr>
  </w:style>
  <w:style w:type="paragraph" w:styleId="774">
    <w:name w:val="Heading 9"/>
    <w:basedOn w:val="930"/>
    <w:next w:val="930"/>
    <w:link w:val="775"/>
    <w:uiPriority w:val="9"/>
    <w:unhideWhenUsed/>
    <w:qFormat/>
    <w:pPr>
      <w:keepLines/>
      <w:keepNext/>
      <w:spacing w:before="320" w:after="200"/>
      <w:outlineLvl w:val="8"/>
    </w:pPr>
    <w:rPr>
      <w:rFonts w:ascii="Arial" w:hAnsi="Arial" w:eastAsia="Arial" w:cs="Arial"/>
      <w:i/>
      <w:iCs/>
      <w:sz w:val="21"/>
      <w:szCs w:val="21"/>
    </w:rPr>
  </w:style>
  <w:style w:type="character" w:styleId="775">
    <w:name w:val="Heading 9 Char"/>
    <w:basedOn w:val="931"/>
    <w:link w:val="774"/>
    <w:uiPriority w:val="9"/>
    <w:rPr>
      <w:rFonts w:ascii="Arial" w:hAnsi="Arial" w:eastAsia="Arial" w:cs="Arial"/>
      <w:i/>
      <w:iCs/>
      <w:sz w:val="21"/>
      <w:szCs w:val="21"/>
    </w:rPr>
  </w:style>
  <w:style w:type="paragraph" w:styleId="776">
    <w:name w:val="Title"/>
    <w:basedOn w:val="930"/>
    <w:next w:val="930"/>
    <w:link w:val="777"/>
    <w:uiPriority w:val="10"/>
    <w:qFormat/>
    <w:pPr>
      <w:contextualSpacing/>
      <w:spacing w:before="300" w:after="200"/>
    </w:pPr>
    <w:rPr>
      <w:sz w:val="48"/>
      <w:szCs w:val="48"/>
    </w:rPr>
  </w:style>
  <w:style w:type="character" w:styleId="777">
    <w:name w:val="Title Char"/>
    <w:basedOn w:val="931"/>
    <w:link w:val="776"/>
    <w:uiPriority w:val="10"/>
    <w:rPr>
      <w:sz w:val="48"/>
      <w:szCs w:val="48"/>
    </w:rPr>
  </w:style>
  <w:style w:type="paragraph" w:styleId="778">
    <w:name w:val="Subtitle"/>
    <w:basedOn w:val="930"/>
    <w:next w:val="930"/>
    <w:link w:val="779"/>
    <w:uiPriority w:val="11"/>
    <w:qFormat/>
    <w:pPr>
      <w:spacing w:before="200" w:after="200"/>
    </w:pPr>
    <w:rPr>
      <w:sz w:val="24"/>
      <w:szCs w:val="24"/>
    </w:rPr>
  </w:style>
  <w:style w:type="character" w:styleId="779">
    <w:name w:val="Subtitle Char"/>
    <w:basedOn w:val="931"/>
    <w:link w:val="778"/>
    <w:uiPriority w:val="11"/>
    <w:rPr>
      <w:sz w:val="24"/>
      <w:szCs w:val="24"/>
    </w:rPr>
  </w:style>
  <w:style w:type="paragraph" w:styleId="780">
    <w:name w:val="Quote"/>
    <w:basedOn w:val="930"/>
    <w:next w:val="930"/>
    <w:link w:val="781"/>
    <w:uiPriority w:val="29"/>
    <w:qFormat/>
    <w:pPr>
      <w:ind w:left="720" w:right="720"/>
    </w:pPr>
    <w:rPr>
      <w:i/>
    </w:rPr>
  </w:style>
  <w:style w:type="character" w:styleId="781">
    <w:name w:val="Quote Char"/>
    <w:link w:val="780"/>
    <w:uiPriority w:val="29"/>
    <w:rPr>
      <w:i/>
    </w:rPr>
  </w:style>
  <w:style w:type="paragraph" w:styleId="782">
    <w:name w:val="Intense Quote"/>
    <w:basedOn w:val="930"/>
    <w:next w:val="930"/>
    <w:link w:val="78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83">
    <w:name w:val="Intense Quote Char"/>
    <w:link w:val="782"/>
    <w:uiPriority w:val="30"/>
    <w:rPr>
      <w:i/>
    </w:rPr>
  </w:style>
  <w:style w:type="character" w:styleId="784">
    <w:name w:val="Header Char"/>
    <w:basedOn w:val="931"/>
    <w:link w:val="944"/>
    <w:uiPriority w:val="99"/>
  </w:style>
  <w:style w:type="character" w:styleId="785">
    <w:name w:val="Footer Char"/>
    <w:basedOn w:val="931"/>
    <w:link w:val="949"/>
    <w:uiPriority w:val="99"/>
  </w:style>
  <w:style w:type="paragraph" w:styleId="786">
    <w:name w:val="Caption"/>
    <w:basedOn w:val="930"/>
    <w:next w:val="930"/>
    <w:uiPriority w:val="35"/>
    <w:semiHidden/>
    <w:unhideWhenUsed/>
    <w:qFormat/>
    <w:pPr>
      <w:spacing w:line="276" w:lineRule="auto"/>
    </w:pPr>
    <w:rPr>
      <w:b/>
      <w:bCs/>
      <w:color w:val="4f81bd" w:themeColor="accent1"/>
      <w:sz w:val="18"/>
      <w:szCs w:val="18"/>
    </w:rPr>
  </w:style>
  <w:style w:type="character" w:styleId="787">
    <w:name w:val="Caption Char"/>
    <w:basedOn w:val="786"/>
    <w:link w:val="949"/>
    <w:uiPriority w:val="99"/>
  </w:style>
  <w:style w:type="table" w:styleId="788">
    <w:name w:val="Table Grid Light"/>
    <w:basedOn w:val="9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89">
    <w:name w:val="Plain Table 1"/>
    <w:basedOn w:val="9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90">
    <w:name w:val="Plain Table 2"/>
    <w:basedOn w:val="9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91">
    <w:name w:val="Plain Table 3"/>
    <w:basedOn w:val="9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92">
    <w:name w:val="Plain Table 4"/>
    <w:basedOn w:val="9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93">
    <w:name w:val="Plain Table 5"/>
    <w:basedOn w:val="9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94">
    <w:name w:val="Grid Table 1 Light"/>
    <w:basedOn w:val="9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95">
    <w:name w:val="Grid Table 1 Light - Accent 1"/>
    <w:basedOn w:val="9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96">
    <w:name w:val="Grid Table 1 Light - Accent 2"/>
    <w:basedOn w:val="9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97">
    <w:name w:val="Grid Table 1 Light - Accent 3"/>
    <w:basedOn w:val="9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98">
    <w:name w:val="Grid Table 1 Light - Accent 4"/>
    <w:basedOn w:val="9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99">
    <w:name w:val="Grid Table 1 Light - Accent 5"/>
    <w:basedOn w:val="9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00">
    <w:name w:val="Grid Table 1 Light - Accent 6"/>
    <w:basedOn w:val="9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01">
    <w:name w:val="Grid Table 2"/>
    <w:basedOn w:val="9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02">
    <w:name w:val="Grid Table 2 - Accent 1"/>
    <w:basedOn w:val="9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03">
    <w:name w:val="Grid Table 2 - Accent 2"/>
    <w:basedOn w:val="9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04">
    <w:name w:val="Grid Table 2 - Accent 3"/>
    <w:basedOn w:val="9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05">
    <w:name w:val="Grid Table 2 - Accent 4"/>
    <w:basedOn w:val="9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06">
    <w:name w:val="Grid Table 2 - Accent 5"/>
    <w:basedOn w:val="9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07">
    <w:name w:val="Grid Table 2 - Accent 6"/>
    <w:basedOn w:val="9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08">
    <w:name w:val="Grid Table 3"/>
    <w:basedOn w:val="9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9">
    <w:name w:val="Grid Table 3 - Accent 1"/>
    <w:basedOn w:val="9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0">
    <w:name w:val="Grid Table 3 - Accent 2"/>
    <w:basedOn w:val="9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1">
    <w:name w:val="Grid Table 3 - Accent 3"/>
    <w:basedOn w:val="9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2">
    <w:name w:val="Grid Table 3 - Accent 4"/>
    <w:basedOn w:val="9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3">
    <w:name w:val="Grid Table 3 - Accent 5"/>
    <w:basedOn w:val="9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4">
    <w:name w:val="Grid Table 3 - Accent 6"/>
    <w:basedOn w:val="9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5">
    <w:name w:val="Grid Table 4"/>
    <w:basedOn w:val="9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16">
    <w:name w:val="Grid Table 4 - Accent 1"/>
    <w:basedOn w:val="9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17">
    <w:name w:val="Grid Table 4 - Accent 2"/>
    <w:basedOn w:val="9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18">
    <w:name w:val="Grid Table 4 - Accent 3"/>
    <w:basedOn w:val="9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19">
    <w:name w:val="Grid Table 4 - Accent 4"/>
    <w:basedOn w:val="9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20">
    <w:name w:val="Grid Table 4 - Accent 5"/>
    <w:basedOn w:val="9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1">
    <w:name w:val="Grid Table 4 - Accent 6"/>
    <w:basedOn w:val="9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2">
    <w:name w:val="Grid Table 5 Dark"/>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3">
    <w:name w:val="Grid Table 5 Dark- Accent 1"/>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24">
    <w:name w:val="Grid Table 5 Dark - Accent 2"/>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25">
    <w:name w:val="Grid Table 5 Dark - Accent 3"/>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26">
    <w:name w:val="Grid Table 5 Dark- Accent 4"/>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27">
    <w:name w:val="Grid Table 5 Dark - Accent 5"/>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28">
    <w:name w:val="Grid Table 5 Dark - Accent 6"/>
    <w:basedOn w:val="9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29">
    <w:name w:val="Grid Table 6 Colorful"/>
    <w:basedOn w:val="9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30">
    <w:name w:val="Grid Table 6 Colorful - Accent 1"/>
    <w:basedOn w:val="9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31">
    <w:name w:val="Grid Table 6 Colorful - Accent 2"/>
    <w:basedOn w:val="9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32">
    <w:name w:val="Grid Table 6 Colorful - Accent 3"/>
    <w:basedOn w:val="9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33">
    <w:name w:val="Grid Table 6 Colorful - Accent 4"/>
    <w:basedOn w:val="9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34">
    <w:name w:val="Grid Table 6 Colorful - Accent 5"/>
    <w:basedOn w:val="9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5">
    <w:name w:val="Grid Table 6 Colorful - Accent 6"/>
    <w:basedOn w:val="9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6">
    <w:name w:val="Grid Table 7 Colorful"/>
    <w:basedOn w:val="9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37">
    <w:name w:val="Grid Table 7 Colorful - Accent 1"/>
    <w:basedOn w:val="9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38">
    <w:name w:val="Grid Table 7 Colorful - Accent 2"/>
    <w:basedOn w:val="9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39">
    <w:name w:val="Grid Table 7 Colorful - Accent 3"/>
    <w:basedOn w:val="9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40">
    <w:name w:val="Grid Table 7 Colorful - Accent 4"/>
    <w:basedOn w:val="9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41">
    <w:name w:val="Grid Table 7 Colorful - Accent 5"/>
    <w:basedOn w:val="9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42">
    <w:name w:val="Grid Table 7 Colorful - Accent 6"/>
    <w:basedOn w:val="9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43">
    <w:name w:val="List Table 1 Light"/>
    <w:basedOn w:val="9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44">
    <w:name w:val="List Table 1 Light - Accent 1"/>
    <w:basedOn w:val="9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45">
    <w:name w:val="List Table 1 Light - Accent 2"/>
    <w:basedOn w:val="9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46">
    <w:name w:val="List Table 1 Light - Accent 3"/>
    <w:basedOn w:val="9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47">
    <w:name w:val="List Table 1 Light - Accent 4"/>
    <w:basedOn w:val="9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48">
    <w:name w:val="List Table 1 Light - Accent 5"/>
    <w:basedOn w:val="9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49">
    <w:name w:val="List Table 1 Light - Accent 6"/>
    <w:basedOn w:val="9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50">
    <w:name w:val="List Table 2"/>
    <w:basedOn w:val="9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51">
    <w:name w:val="List Table 2 - Accent 1"/>
    <w:basedOn w:val="9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52">
    <w:name w:val="List Table 2 - Accent 2"/>
    <w:basedOn w:val="9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53">
    <w:name w:val="List Table 2 - Accent 3"/>
    <w:basedOn w:val="9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54">
    <w:name w:val="List Table 2 - Accent 4"/>
    <w:basedOn w:val="9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55">
    <w:name w:val="List Table 2 - Accent 5"/>
    <w:basedOn w:val="9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56">
    <w:name w:val="List Table 2 - Accent 6"/>
    <w:basedOn w:val="9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57">
    <w:name w:val="List Table 3"/>
    <w:basedOn w:val="9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8">
    <w:name w:val="List Table 3 - Accent 1"/>
    <w:basedOn w:val="9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59">
    <w:name w:val="List Table 3 - Accent 2"/>
    <w:basedOn w:val="9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60">
    <w:name w:val="List Table 3 - Accent 3"/>
    <w:basedOn w:val="9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61">
    <w:name w:val="List Table 3 - Accent 4"/>
    <w:basedOn w:val="9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62">
    <w:name w:val="List Table 3 - Accent 5"/>
    <w:basedOn w:val="9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63">
    <w:name w:val="List Table 3 - Accent 6"/>
    <w:basedOn w:val="9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64">
    <w:name w:val="List Table 4"/>
    <w:basedOn w:val="9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65">
    <w:name w:val="List Table 4 - Accent 1"/>
    <w:basedOn w:val="9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66">
    <w:name w:val="List Table 4 - Accent 2"/>
    <w:basedOn w:val="9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67">
    <w:name w:val="List Table 4 - Accent 3"/>
    <w:basedOn w:val="9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68">
    <w:name w:val="List Table 4 - Accent 4"/>
    <w:basedOn w:val="9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69">
    <w:name w:val="List Table 4 - Accent 5"/>
    <w:basedOn w:val="9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70">
    <w:name w:val="List Table 4 - Accent 6"/>
    <w:basedOn w:val="9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71">
    <w:name w:val="List Table 5 Dark"/>
    <w:basedOn w:val="9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2">
    <w:name w:val="List Table 5 Dark - Accent 1"/>
    <w:basedOn w:val="9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3">
    <w:name w:val="List Table 5 Dark - Accent 2"/>
    <w:basedOn w:val="9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4">
    <w:name w:val="List Table 5 Dark - Accent 3"/>
    <w:basedOn w:val="9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5">
    <w:name w:val="List Table 5 Dark - Accent 4"/>
    <w:basedOn w:val="9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6">
    <w:name w:val="List Table 5 Dark - Accent 5"/>
    <w:basedOn w:val="9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7">
    <w:name w:val="List Table 5 Dark - Accent 6"/>
    <w:basedOn w:val="9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8">
    <w:name w:val="List Table 6 Colorful"/>
    <w:basedOn w:val="9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79">
    <w:name w:val="List Table 6 Colorful - Accent 1"/>
    <w:basedOn w:val="9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80">
    <w:name w:val="List Table 6 Colorful - Accent 2"/>
    <w:basedOn w:val="9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81">
    <w:name w:val="List Table 6 Colorful - Accent 3"/>
    <w:basedOn w:val="9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82">
    <w:name w:val="List Table 6 Colorful - Accent 4"/>
    <w:basedOn w:val="9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83">
    <w:name w:val="List Table 6 Colorful - Accent 5"/>
    <w:basedOn w:val="9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84">
    <w:name w:val="List Table 6 Colorful - Accent 6"/>
    <w:basedOn w:val="9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85">
    <w:name w:val="List Table 7 Colorful"/>
    <w:basedOn w:val="9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86">
    <w:name w:val="List Table 7 Colorful - Accent 1"/>
    <w:basedOn w:val="9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87">
    <w:name w:val="List Table 7 Colorful - Accent 2"/>
    <w:basedOn w:val="9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88">
    <w:name w:val="List Table 7 Colorful - Accent 3"/>
    <w:basedOn w:val="9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89">
    <w:name w:val="List Table 7 Colorful - Accent 4"/>
    <w:basedOn w:val="9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90">
    <w:name w:val="List Table 7 Colorful - Accent 5"/>
    <w:basedOn w:val="9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91">
    <w:name w:val="List Table 7 Colorful - Accent 6"/>
    <w:basedOn w:val="9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92">
    <w:name w:val="Lined - Accent"/>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93">
    <w:name w:val="Lined - Accent 1"/>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94">
    <w:name w:val="Lined - Accent 2"/>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95">
    <w:name w:val="Lined - Accent 3"/>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96">
    <w:name w:val="Lined - Accent 4"/>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97">
    <w:name w:val="Lined - Accent 5"/>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98">
    <w:name w:val="Lined - Accent 6"/>
    <w:basedOn w:val="9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99">
    <w:name w:val="Bordered &amp; Lined - Accent"/>
    <w:basedOn w:val="9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00">
    <w:name w:val="Bordered &amp; Lined - Accent 1"/>
    <w:basedOn w:val="9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901">
    <w:name w:val="Bordered &amp; Lined - Accent 2"/>
    <w:basedOn w:val="9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902">
    <w:name w:val="Bordered &amp; Lined - Accent 3"/>
    <w:basedOn w:val="9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903">
    <w:name w:val="Bordered &amp; Lined - Accent 4"/>
    <w:basedOn w:val="9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904">
    <w:name w:val="Bordered &amp; Lined - Accent 5"/>
    <w:basedOn w:val="9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905">
    <w:name w:val="Bordered &amp; Lined - Accent 6"/>
    <w:basedOn w:val="9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906">
    <w:name w:val="Bordered"/>
    <w:basedOn w:val="9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07">
    <w:name w:val="Bordered - Accent 1"/>
    <w:basedOn w:val="9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08">
    <w:name w:val="Bordered - Accent 2"/>
    <w:basedOn w:val="9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09">
    <w:name w:val="Bordered - Accent 3"/>
    <w:basedOn w:val="9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10">
    <w:name w:val="Bordered - Accent 4"/>
    <w:basedOn w:val="9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11">
    <w:name w:val="Bordered - Accent 5"/>
    <w:basedOn w:val="9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12">
    <w:name w:val="Bordered - Accent 6"/>
    <w:basedOn w:val="9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913">
    <w:name w:val="footnote text"/>
    <w:basedOn w:val="930"/>
    <w:link w:val="914"/>
    <w:uiPriority w:val="99"/>
    <w:semiHidden/>
    <w:unhideWhenUsed/>
    <w:pPr>
      <w:spacing w:after="40" w:line="240" w:lineRule="auto"/>
    </w:pPr>
    <w:rPr>
      <w:sz w:val="18"/>
    </w:rPr>
  </w:style>
  <w:style w:type="character" w:styleId="914">
    <w:name w:val="Footnote Text Char"/>
    <w:link w:val="913"/>
    <w:uiPriority w:val="99"/>
    <w:rPr>
      <w:sz w:val="18"/>
    </w:rPr>
  </w:style>
  <w:style w:type="character" w:styleId="915">
    <w:name w:val="footnote reference"/>
    <w:basedOn w:val="931"/>
    <w:uiPriority w:val="99"/>
    <w:unhideWhenUsed/>
    <w:rPr>
      <w:vertAlign w:val="superscript"/>
    </w:rPr>
  </w:style>
  <w:style w:type="paragraph" w:styleId="916">
    <w:name w:val="endnote text"/>
    <w:basedOn w:val="930"/>
    <w:link w:val="917"/>
    <w:uiPriority w:val="99"/>
    <w:semiHidden/>
    <w:unhideWhenUsed/>
    <w:pPr>
      <w:spacing w:after="0" w:line="240" w:lineRule="auto"/>
    </w:pPr>
    <w:rPr>
      <w:sz w:val="20"/>
    </w:rPr>
  </w:style>
  <w:style w:type="character" w:styleId="917">
    <w:name w:val="Endnote Text Char"/>
    <w:link w:val="916"/>
    <w:uiPriority w:val="99"/>
    <w:rPr>
      <w:sz w:val="20"/>
    </w:rPr>
  </w:style>
  <w:style w:type="character" w:styleId="918">
    <w:name w:val="endnote reference"/>
    <w:basedOn w:val="931"/>
    <w:uiPriority w:val="99"/>
    <w:semiHidden/>
    <w:unhideWhenUsed/>
    <w:rPr>
      <w:vertAlign w:val="superscript"/>
    </w:rPr>
  </w:style>
  <w:style w:type="paragraph" w:styleId="919">
    <w:name w:val="toc 1"/>
    <w:basedOn w:val="930"/>
    <w:next w:val="930"/>
    <w:uiPriority w:val="39"/>
    <w:unhideWhenUsed/>
    <w:pPr>
      <w:ind w:left="0" w:right="0" w:firstLine="0"/>
      <w:spacing w:after="57"/>
    </w:pPr>
  </w:style>
  <w:style w:type="paragraph" w:styleId="920">
    <w:name w:val="toc 2"/>
    <w:basedOn w:val="930"/>
    <w:next w:val="930"/>
    <w:uiPriority w:val="39"/>
    <w:unhideWhenUsed/>
    <w:pPr>
      <w:ind w:left="283" w:right="0" w:firstLine="0"/>
      <w:spacing w:after="57"/>
    </w:pPr>
  </w:style>
  <w:style w:type="paragraph" w:styleId="921">
    <w:name w:val="toc 3"/>
    <w:basedOn w:val="930"/>
    <w:next w:val="930"/>
    <w:uiPriority w:val="39"/>
    <w:unhideWhenUsed/>
    <w:pPr>
      <w:ind w:left="567" w:right="0" w:firstLine="0"/>
      <w:spacing w:after="57"/>
    </w:pPr>
  </w:style>
  <w:style w:type="paragraph" w:styleId="922">
    <w:name w:val="toc 4"/>
    <w:basedOn w:val="930"/>
    <w:next w:val="930"/>
    <w:uiPriority w:val="39"/>
    <w:unhideWhenUsed/>
    <w:pPr>
      <w:ind w:left="850" w:right="0" w:firstLine="0"/>
      <w:spacing w:after="57"/>
    </w:pPr>
  </w:style>
  <w:style w:type="paragraph" w:styleId="923">
    <w:name w:val="toc 5"/>
    <w:basedOn w:val="930"/>
    <w:next w:val="930"/>
    <w:uiPriority w:val="39"/>
    <w:unhideWhenUsed/>
    <w:pPr>
      <w:ind w:left="1134" w:right="0" w:firstLine="0"/>
      <w:spacing w:after="57"/>
    </w:pPr>
  </w:style>
  <w:style w:type="paragraph" w:styleId="924">
    <w:name w:val="toc 6"/>
    <w:basedOn w:val="930"/>
    <w:next w:val="930"/>
    <w:uiPriority w:val="39"/>
    <w:unhideWhenUsed/>
    <w:pPr>
      <w:ind w:left="1417" w:right="0" w:firstLine="0"/>
      <w:spacing w:after="57"/>
    </w:pPr>
  </w:style>
  <w:style w:type="paragraph" w:styleId="925">
    <w:name w:val="toc 7"/>
    <w:basedOn w:val="930"/>
    <w:next w:val="930"/>
    <w:uiPriority w:val="39"/>
    <w:unhideWhenUsed/>
    <w:pPr>
      <w:ind w:left="1701" w:right="0" w:firstLine="0"/>
      <w:spacing w:after="57"/>
    </w:pPr>
  </w:style>
  <w:style w:type="paragraph" w:styleId="926">
    <w:name w:val="toc 8"/>
    <w:basedOn w:val="930"/>
    <w:next w:val="930"/>
    <w:uiPriority w:val="39"/>
    <w:unhideWhenUsed/>
    <w:pPr>
      <w:ind w:left="1984" w:right="0" w:firstLine="0"/>
      <w:spacing w:after="57"/>
    </w:pPr>
  </w:style>
  <w:style w:type="paragraph" w:styleId="927">
    <w:name w:val="toc 9"/>
    <w:basedOn w:val="930"/>
    <w:next w:val="930"/>
    <w:uiPriority w:val="39"/>
    <w:unhideWhenUsed/>
    <w:pPr>
      <w:ind w:left="2268" w:right="0" w:firstLine="0"/>
      <w:spacing w:after="57"/>
    </w:pPr>
  </w:style>
  <w:style w:type="paragraph" w:styleId="928">
    <w:name w:val="TOC Heading"/>
    <w:uiPriority w:val="39"/>
    <w:unhideWhenUsed/>
  </w:style>
  <w:style w:type="paragraph" w:styleId="929">
    <w:name w:val="table of figures"/>
    <w:basedOn w:val="930"/>
    <w:next w:val="930"/>
    <w:uiPriority w:val="99"/>
    <w:unhideWhenUsed/>
    <w:pPr>
      <w:spacing w:after="0" w:afterAutospacing="0"/>
    </w:pPr>
  </w:style>
  <w:style w:type="paragraph" w:styleId="930" w:default="1">
    <w:name w:val="Normal"/>
    <w:qFormat/>
    <w:rPr>
      <w:sz w:val="24"/>
      <w:szCs w:val="24"/>
    </w:rPr>
  </w:style>
  <w:style w:type="character" w:styleId="931" w:default="1">
    <w:name w:val="Default Paragraph Font"/>
    <w:uiPriority w:val="1"/>
    <w:semiHidden/>
    <w:unhideWhenUsed/>
  </w:style>
  <w:style w:type="table" w:styleId="932" w:default="1">
    <w:name w:val="Normal Table"/>
    <w:uiPriority w:val="99"/>
    <w:semiHidden/>
    <w:unhideWhenUsed/>
    <w:tblPr>
      <w:tblInd w:w="0" w:type="dxa"/>
      <w:tblCellMar>
        <w:left w:w="108" w:type="dxa"/>
        <w:top w:w="0" w:type="dxa"/>
        <w:right w:w="108" w:type="dxa"/>
        <w:bottom w:w="0" w:type="dxa"/>
      </w:tblCellMar>
    </w:tblPr>
  </w:style>
  <w:style w:type="numbering" w:styleId="933" w:default="1">
    <w:name w:val="No List"/>
    <w:uiPriority w:val="99"/>
    <w:semiHidden/>
    <w:unhideWhenUsed/>
  </w:style>
  <w:style w:type="character" w:styleId="934">
    <w:name w:val="Hyperlink"/>
    <w:basedOn w:val="931"/>
    <w:uiPriority w:val="99"/>
    <w:rPr>
      <w:rFonts w:ascii="Times New Roman" w:hAnsi="Times New Roman" w:cs="Times New Roman"/>
      <w:color w:val="0000ff"/>
      <w:u w:val="single"/>
    </w:rPr>
  </w:style>
  <w:style w:type="paragraph" w:styleId="935">
    <w:name w:val="Normal (Web)"/>
    <w:basedOn w:val="930"/>
    <w:pPr>
      <w:jc w:val="both"/>
      <w:spacing w:after="150"/>
    </w:pPr>
  </w:style>
  <w:style w:type="character" w:styleId="936" w:customStyle="1">
    <w:name w:val="Body Text Indent Char"/>
    <w:uiPriority w:val="99"/>
    <w:rPr>
      <w:sz w:val="24"/>
      <w:lang w:val="ru-RU" w:eastAsia="ru-RU"/>
    </w:rPr>
  </w:style>
  <w:style w:type="paragraph" w:styleId="937">
    <w:name w:val="Body Text Indent"/>
    <w:basedOn w:val="930"/>
    <w:link w:val="938"/>
    <w:pPr>
      <w:ind w:left="283"/>
      <w:spacing w:after="120"/>
    </w:pPr>
  </w:style>
  <w:style w:type="character" w:styleId="938" w:customStyle="1">
    <w:name w:val="Основной текст с отступом Знак"/>
    <w:basedOn w:val="931"/>
    <w:link w:val="937"/>
    <w:rPr>
      <w:rFonts w:cs="Times New Roman"/>
      <w:sz w:val="24"/>
      <w:szCs w:val="24"/>
    </w:rPr>
  </w:style>
  <w:style w:type="paragraph" w:styleId="939" w:customStyle="1">
    <w:name w:val="rvps48222"/>
    <w:basedOn w:val="930"/>
    <w:uiPriority w:val="99"/>
    <w:pPr>
      <w:jc w:val="right"/>
      <w:spacing w:after="150"/>
    </w:pPr>
  </w:style>
  <w:style w:type="character" w:styleId="940" w:customStyle="1">
    <w:name w:val="rvts48220"/>
    <w:rPr>
      <w:rFonts w:ascii="Arial" w:hAnsi="Arial"/>
      <w:color w:val="000000"/>
      <w:sz w:val="20"/>
      <w:u w:val="none"/>
    </w:rPr>
  </w:style>
  <w:style w:type="character" w:styleId="941" w:customStyle="1">
    <w:name w:val="rvts48221"/>
    <w:rPr>
      <w:rFonts w:ascii="Arial" w:hAnsi="Arial"/>
      <w:b/>
      <w:color w:val="000000"/>
      <w:sz w:val="20"/>
      <w:u w:val="none"/>
    </w:rPr>
  </w:style>
  <w:style w:type="character" w:styleId="942" w:customStyle="1">
    <w:name w:val="rvts48223"/>
    <w:rPr>
      <w:rFonts w:ascii="Arial" w:hAnsi="Arial"/>
      <w:b/>
      <w:color w:val="1d5da2"/>
      <w:sz w:val="20"/>
      <w:u w:val="none"/>
    </w:rPr>
  </w:style>
  <w:style w:type="character" w:styleId="943" w:customStyle="1">
    <w:name w:val="Font Style21"/>
    <w:uiPriority w:val="99"/>
    <w:rPr>
      <w:rFonts w:ascii="Times New Roman" w:hAnsi="Times New Roman"/>
      <w:sz w:val="22"/>
    </w:rPr>
  </w:style>
  <w:style w:type="paragraph" w:styleId="944">
    <w:name w:val="Header"/>
    <w:basedOn w:val="930"/>
    <w:link w:val="945"/>
    <w:uiPriority w:val="99"/>
    <w:pPr>
      <w:tabs>
        <w:tab w:val="center" w:pos="4677" w:leader="none"/>
        <w:tab w:val="right" w:pos="9355" w:leader="none"/>
      </w:tabs>
    </w:pPr>
  </w:style>
  <w:style w:type="character" w:styleId="945" w:customStyle="1">
    <w:name w:val="Верхний колонтитул Знак"/>
    <w:basedOn w:val="931"/>
    <w:link w:val="944"/>
    <w:uiPriority w:val="99"/>
    <w:rPr>
      <w:rFonts w:cs="Times New Roman"/>
      <w:sz w:val="24"/>
      <w:szCs w:val="24"/>
    </w:rPr>
  </w:style>
  <w:style w:type="character" w:styleId="946">
    <w:name w:val="page number"/>
    <w:basedOn w:val="931"/>
    <w:uiPriority w:val="99"/>
    <w:rPr>
      <w:rFonts w:cs="Times New Roman"/>
    </w:rPr>
  </w:style>
  <w:style w:type="paragraph" w:styleId="947">
    <w:name w:val="Balloon Text"/>
    <w:basedOn w:val="930"/>
    <w:link w:val="948"/>
    <w:uiPriority w:val="99"/>
    <w:semiHidden/>
    <w:unhideWhenUsed/>
    <w:rPr>
      <w:rFonts w:ascii="Tahoma" w:hAnsi="Tahoma" w:cs="Tahoma"/>
      <w:sz w:val="16"/>
      <w:szCs w:val="16"/>
    </w:rPr>
  </w:style>
  <w:style w:type="character" w:styleId="948" w:customStyle="1">
    <w:name w:val="Текст выноски Знак"/>
    <w:basedOn w:val="931"/>
    <w:link w:val="947"/>
    <w:uiPriority w:val="99"/>
    <w:semiHidden/>
    <w:rPr>
      <w:rFonts w:ascii="Tahoma" w:hAnsi="Tahoma" w:cs="Tahoma"/>
      <w:sz w:val="16"/>
      <w:szCs w:val="16"/>
    </w:rPr>
  </w:style>
  <w:style w:type="paragraph" w:styleId="949">
    <w:name w:val="Footer"/>
    <w:basedOn w:val="930"/>
    <w:link w:val="950"/>
    <w:uiPriority w:val="99"/>
    <w:semiHidden/>
    <w:unhideWhenUsed/>
    <w:pPr>
      <w:tabs>
        <w:tab w:val="center" w:pos="4677" w:leader="none"/>
        <w:tab w:val="right" w:pos="9355" w:leader="none"/>
      </w:tabs>
    </w:pPr>
  </w:style>
  <w:style w:type="character" w:styleId="950" w:customStyle="1">
    <w:name w:val="Нижний колонтитул Знак"/>
    <w:basedOn w:val="931"/>
    <w:link w:val="949"/>
    <w:uiPriority w:val="99"/>
    <w:semiHidden/>
    <w:rPr>
      <w:sz w:val="24"/>
      <w:szCs w:val="24"/>
    </w:rPr>
  </w:style>
  <w:style w:type="character" w:styleId="951">
    <w:name w:val="annotation reference"/>
    <w:basedOn w:val="931"/>
    <w:uiPriority w:val="99"/>
    <w:semiHidden/>
    <w:unhideWhenUsed/>
    <w:rPr>
      <w:sz w:val="16"/>
      <w:szCs w:val="16"/>
    </w:rPr>
  </w:style>
  <w:style w:type="paragraph" w:styleId="952">
    <w:name w:val="annotation text"/>
    <w:basedOn w:val="930"/>
    <w:link w:val="953"/>
    <w:uiPriority w:val="99"/>
    <w:semiHidden/>
    <w:unhideWhenUsed/>
    <w:rPr>
      <w:sz w:val="20"/>
      <w:szCs w:val="20"/>
    </w:rPr>
  </w:style>
  <w:style w:type="character" w:styleId="953" w:customStyle="1">
    <w:name w:val="Текст примечания Знак"/>
    <w:basedOn w:val="931"/>
    <w:link w:val="952"/>
    <w:uiPriority w:val="99"/>
    <w:semiHidden/>
    <w:rPr>
      <w:sz w:val="20"/>
      <w:szCs w:val="20"/>
    </w:rPr>
  </w:style>
  <w:style w:type="paragraph" w:styleId="954">
    <w:name w:val="annotation subject"/>
    <w:basedOn w:val="952"/>
    <w:next w:val="952"/>
    <w:link w:val="955"/>
    <w:uiPriority w:val="99"/>
    <w:semiHidden/>
    <w:unhideWhenUsed/>
    <w:rPr>
      <w:b/>
      <w:bCs/>
    </w:rPr>
  </w:style>
  <w:style w:type="character" w:styleId="955" w:customStyle="1">
    <w:name w:val="Тема примечания Знак"/>
    <w:basedOn w:val="953"/>
    <w:link w:val="954"/>
    <w:uiPriority w:val="99"/>
    <w:semiHidden/>
    <w:rPr>
      <w:b/>
      <w:bCs/>
      <w:sz w:val="20"/>
      <w:szCs w:val="20"/>
    </w:rPr>
  </w:style>
  <w:style w:type="paragraph" w:styleId="956">
    <w:name w:val="No Spacing"/>
    <w:link w:val="977"/>
    <w:uiPriority w:val="1"/>
    <w:qFormat/>
    <w:rPr>
      <w:rFonts w:ascii="Calibri" w:hAnsi="Calibri"/>
      <w:lang w:eastAsia="en-US"/>
    </w:rPr>
  </w:style>
  <w:style w:type="paragraph" w:styleId="957">
    <w:name w:val="Plain Text"/>
    <w:basedOn w:val="930"/>
    <w:link w:val="958"/>
    <w:uiPriority w:val="99"/>
    <w:unhideWhenUsed/>
    <w:rPr>
      <w:rFonts w:ascii="Consolas" w:hAnsi="Consolas" w:eastAsiaTheme="minorHAnsi" w:cstheme="minorBidi"/>
      <w:sz w:val="21"/>
      <w:szCs w:val="21"/>
      <w:lang w:eastAsia="en-US"/>
    </w:rPr>
  </w:style>
  <w:style w:type="character" w:styleId="958" w:customStyle="1">
    <w:name w:val="Текст Знак"/>
    <w:basedOn w:val="931"/>
    <w:link w:val="957"/>
    <w:uiPriority w:val="99"/>
    <w:rPr>
      <w:rFonts w:ascii="Consolas" w:hAnsi="Consolas" w:eastAsiaTheme="minorHAnsi" w:cstheme="minorBidi"/>
      <w:sz w:val="21"/>
      <w:szCs w:val="21"/>
      <w:lang w:eastAsia="en-US"/>
    </w:rPr>
  </w:style>
  <w:style w:type="paragraph" w:styleId="959">
    <w:name w:val="HTML Preformatted"/>
    <w:basedOn w:val="930"/>
    <w:link w:val="960"/>
    <w:uiPriority w:val="99"/>
    <w:pPr>
      <w:jc w:val="both"/>
      <w:spacing w:after="60"/>
    </w:pPr>
    <w:rPr>
      <w:rFonts w:ascii="Courier New" w:hAnsi="Courier New"/>
      <w:sz w:val="20"/>
      <w:szCs w:val="20"/>
    </w:rPr>
  </w:style>
  <w:style w:type="character" w:styleId="960" w:customStyle="1">
    <w:name w:val="Стандартный HTML Знак"/>
    <w:basedOn w:val="931"/>
    <w:link w:val="959"/>
    <w:uiPriority w:val="99"/>
    <w:rPr>
      <w:rFonts w:ascii="Courier New" w:hAnsi="Courier New"/>
      <w:sz w:val="20"/>
      <w:szCs w:val="20"/>
    </w:rPr>
  </w:style>
  <w:style w:type="character" w:styleId="961" w:customStyle="1">
    <w:name w:val="apple-converted-space"/>
    <w:basedOn w:val="931"/>
  </w:style>
  <w:style w:type="paragraph" w:styleId="962" w:customStyle="1">
    <w:name w:val="Default"/>
    <w:rPr>
      <w:rFonts w:eastAsia="Calibri"/>
      <w:color w:val="000000"/>
      <w:sz w:val="24"/>
      <w:szCs w:val="24"/>
      <w:lang w:eastAsia="en-US"/>
    </w:rPr>
  </w:style>
  <w:style w:type="paragraph" w:styleId="963">
    <w:name w:val="List Paragraph"/>
    <w:basedOn w:val="930"/>
    <w:uiPriority w:val="34"/>
    <w:qFormat/>
    <w:pPr>
      <w:contextualSpacing/>
      <w:ind w:left="720"/>
    </w:pPr>
  </w:style>
  <w:style w:type="paragraph" w:styleId="964" w:customStyle="1">
    <w:name w:val="gmail-s_1"/>
    <w:basedOn w:val="930"/>
    <w:pPr>
      <w:spacing w:before="100" w:beforeAutospacing="1" w:after="100" w:afterAutospacing="1"/>
    </w:pPr>
  </w:style>
  <w:style w:type="paragraph" w:styleId="965" w:customStyle="1">
    <w:name w:val="готик текст"/>
    <w:uiPriority w:val="99"/>
    <w:pPr>
      <w:ind w:firstLine="283"/>
      <w:jc w:val="both"/>
      <w:spacing w:line="240" w:lineRule="atLeast"/>
      <w:tabs>
        <w:tab w:val="right" w:pos="4762" w:leader="dot"/>
      </w:tabs>
    </w:pPr>
    <w:rPr>
      <w:rFonts w:ascii="NewsGothic_A.Z_PS" w:hAnsi="NewsGothic_A.Z_PS" w:cs="NewsGothic_A.Z_PS"/>
      <w:color w:val="000000"/>
      <w:sz w:val="20"/>
      <w:szCs w:val="20"/>
    </w:rPr>
  </w:style>
  <w:style w:type="character" w:styleId="966">
    <w:name w:val="Strong"/>
    <w:uiPriority w:val="22"/>
    <w:qFormat/>
    <w:rPr>
      <w:b/>
      <w:bCs/>
    </w:rPr>
  </w:style>
  <w:style w:type="character" w:styleId="967" w:customStyle="1">
    <w:name w:val="Font Style12"/>
    <w:rPr>
      <w:rFonts w:ascii="Times New Roman" w:hAnsi="Times New Roman" w:cs="Times New Roman"/>
      <w:sz w:val="22"/>
      <w:szCs w:val="22"/>
    </w:rPr>
  </w:style>
  <w:style w:type="paragraph" w:styleId="968">
    <w:name w:val="Body Text Indent 3"/>
    <w:basedOn w:val="930"/>
    <w:link w:val="969"/>
    <w:uiPriority w:val="99"/>
    <w:unhideWhenUsed/>
    <w:pPr>
      <w:ind w:left="283"/>
      <w:spacing w:after="120" w:line="276" w:lineRule="auto"/>
    </w:pPr>
    <w:rPr>
      <w:rFonts w:ascii="Calibri" w:hAnsi="Calibri" w:eastAsia="Calibri" w:cs="Calibri"/>
      <w:sz w:val="16"/>
      <w:szCs w:val="16"/>
      <w:lang w:eastAsia="en-US"/>
    </w:rPr>
  </w:style>
  <w:style w:type="character" w:styleId="969" w:customStyle="1">
    <w:name w:val="Основной текст с отступом 3 Знак"/>
    <w:basedOn w:val="931"/>
    <w:link w:val="968"/>
    <w:uiPriority w:val="99"/>
    <w:rPr>
      <w:rFonts w:ascii="Calibri" w:hAnsi="Calibri" w:eastAsia="Calibri" w:cs="Calibri"/>
      <w:sz w:val="16"/>
      <w:szCs w:val="16"/>
      <w:lang w:eastAsia="en-US"/>
    </w:rPr>
  </w:style>
  <w:style w:type="character" w:styleId="970" w:customStyle="1">
    <w:name w:val="Нет"/>
  </w:style>
  <w:style w:type="paragraph" w:styleId="971" w:customStyle="1">
    <w:name w:val="western"/>
    <w:basedOn w:val="930"/>
    <w:uiPriority w:val="99"/>
    <w:pPr>
      <w:spacing w:before="100" w:beforeAutospacing="1" w:after="119"/>
    </w:pPr>
    <w:rPr>
      <w:rFonts w:ascii="Arial" w:hAnsi="Arial" w:cs="Arial"/>
      <w:color w:val="000000"/>
      <w:sz w:val="20"/>
      <w:szCs w:val="20"/>
    </w:rPr>
  </w:style>
  <w:style w:type="paragraph" w:styleId="972" w:customStyle="1">
    <w:name w:val="Т Обычный"/>
    <w:basedOn w:val="930"/>
    <w:link w:val="973"/>
    <w:uiPriority w:val="99"/>
    <w:pPr>
      <w:spacing w:before="60" w:after="60"/>
    </w:pPr>
    <w:rPr>
      <w:rFonts w:ascii="Calibri" w:hAnsi="Calibri" w:eastAsia="Calibri"/>
    </w:rPr>
  </w:style>
  <w:style w:type="character" w:styleId="973" w:customStyle="1">
    <w:name w:val="Т Обычный Знак"/>
    <w:link w:val="972"/>
    <w:uiPriority w:val="99"/>
    <w:rPr>
      <w:rFonts w:ascii="Calibri" w:hAnsi="Calibri" w:eastAsia="Calibri"/>
      <w:sz w:val="24"/>
      <w:szCs w:val="24"/>
    </w:rPr>
  </w:style>
  <w:style w:type="numbering" w:styleId="974" w:customStyle="1">
    <w:name w:val="Импортированный стиль 1"/>
    <w:pPr>
      <w:numPr>
        <w:ilvl w:val="0"/>
        <w:numId w:val="16"/>
      </w:numPr>
    </w:pPr>
  </w:style>
  <w:style w:type="paragraph" w:styleId="975">
    <w:name w:val="Body Text"/>
    <w:basedOn w:val="930"/>
    <w:link w:val="976"/>
    <w:uiPriority w:val="99"/>
    <w:semiHidden/>
    <w:unhideWhenUsed/>
    <w:pPr>
      <w:spacing w:after="120"/>
    </w:pPr>
  </w:style>
  <w:style w:type="character" w:styleId="976" w:customStyle="1">
    <w:name w:val="Основной текст Знак"/>
    <w:basedOn w:val="931"/>
    <w:link w:val="975"/>
    <w:uiPriority w:val="99"/>
    <w:semiHidden/>
    <w:rPr>
      <w:sz w:val="24"/>
      <w:szCs w:val="24"/>
    </w:rPr>
  </w:style>
  <w:style w:type="character" w:styleId="977" w:customStyle="1">
    <w:name w:val="Без интервала Знак"/>
    <w:link w:val="956"/>
    <w:uiPriority w:val="1"/>
    <w:rPr>
      <w:rFonts w:ascii="Calibri" w:hAnsi="Calibri"/>
      <w:lang w:eastAsia="en-US"/>
    </w:rPr>
  </w:style>
  <w:style w:type="table" w:styleId="978">
    <w:name w:val="Table Grid"/>
    <w:basedOn w:val="932"/>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customXml" Target="../customXml/item1.xml" /><Relationship Id="rId12" Type="http://schemas.openxmlformats.org/officeDocument/2006/relationships/hyperlink" Target="mailto:inf@adm.gazprom.ru" TargetMode="External"/><Relationship Id="rId13" Type="http://schemas.openxmlformats.org/officeDocument/2006/relationships/hyperlink" Target="mailto:e.gladyrevskaya@etpgpb.ru" TargetMode="External"/><Relationship Id="rId14" Type="http://schemas.openxmlformats.org/officeDocument/2006/relationships/hyperlink" Target="mailto:v.lysenin@etpgpb.ru" TargetMode="External"/><Relationship Id="rId15" Type="http://schemas.openxmlformats.org/officeDocument/2006/relationships/hyperlink" Target="https://etpgpb.ru/"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yperlink" Target="https://etp.gpb.ru/" TargetMode="External"/><Relationship Id="rId20" Type="http://schemas.openxmlformats.org/officeDocument/2006/relationships/hyperlink" Target="https://etp.gpb.ru/" TargetMode="External"/><Relationship Id="rId21" Type="http://schemas.openxmlformats.org/officeDocument/2006/relationships/hyperlink" Target="https://etp.gpb.ru/" TargetMode="External"/><Relationship Id="rId22" Type="http://schemas.openxmlformats.org/officeDocument/2006/relationships/hyperlink" Target="https://etp.gpb.ru/"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5E2B3-BA31-49D0-B99A-BA2ACF01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Р7-Офис/2024.3.2.584</Application>
  <Company>Gazprom JSC</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«Газ-Ойл» извещает о проведении торгов по продаже имущества (индивидуальный ЖИЛОЙ ДОМ расположенный по адресу:</dc:title>
  <dc:creator>Юля Носаль</dc:creator>
  <cp:revision>73</cp:revision>
  <dcterms:created xsi:type="dcterms:W3CDTF">2020-07-20T09:06:00Z</dcterms:created>
  <dcterms:modified xsi:type="dcterms:W3CDTF">2025-06-17T05:34:34Z</dcterms:modified>
</cp:coreProperties>
</file>